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25FF6E" w14:textId="77777777" w:rsidR="00ED5526" w:rsidRPr="00727627" w:rsidRDefault="00ED5526" w:rsidP="00727627">
      <w:pPr>
        <w:spacing w:after="120" w:line="240" w:lineRule="auto"/>
        <w:rPr>
          <w:b/>
          <w:bCs/>
          <w:color w:val="002060"/>
          <w:kern w:val="24"/>
          <w:sz w:val="28"/>
          <w:szCs w:val="28"/>
        </w:rPr>
      </w:pPr>
      <w:r w:rsidRPr="00727627">
        <w:rPr>
          <w:b/>
          <w:bCs/>
          <w:noProof/>
          <w:color w:val="002060"/>
          <w:sz w:val="28"/>
          <w:szCs w:val="28"/>
        </w:rPr>
        <w:t>Subject:</w:t>
      </w:r>
      <w:r w:rsidRPr="00727627">
        <w:rPr>
          <w:b/>
          <w:bCs/>
          <w:color w:val="002060"/>
          <w:kern w:val="24"/>
          <w:sz w:val="28"/>
          <w:szCs w:val="28"/>
        </w:rPr>
        <w:t xml:space="preserve"> </w:t>
      </w:r>
      <w:r w:rsidRPr="00736CBC">
        <w:rPr>
          <w:b/>
          <w:bCs/>
          <w:noProof/>
          <w:color w:val="002060"/>
          <w:kern w:val="24"/>
          <w:sz w:val="28"/>
          <w:szCs w:val="28"/>
        </w:rPr>
        <w:t>Dance</w:t>
      </w:r>
    </w:p>
    <w:p w14:paraId="1DC4D895" w14:textId="77777777" w:rsidR="00ED5526" w:rsidRPr="00ED5526" w:rsidRDefault="00ED5526" w:rsidP="00727627">
      <w:pPr>
        <w:spacing w:after="120" w:line="240" w:lineRule="auto"/>
        <w:rPr>
          <w:rFonts w:ascii="Roboto" w:hAnsi="Roboto"/>
          <w:color w:val="17365D" w:themeColor="text2" w:themeShade="BF"/>
          <w:kern w:val="24"/>
          <w:sz w:val="24"/>
          <w:szCs w:val="24"/>
        </w:rPr>
      </w:pPr>
      <w:r w:rsidRPr="00ED5526">
        <w:rPr>
          <w:rFonts w:ascii="Roboto" w:hAnsi="Roboto"/>
          <w:noProof/>
          <w:color w:val="17365D" w:themeColor="text2" w:themeShade="BF"/>
          <w:kern w:val="24"/>
          <w:sz w:val="24"/>
          <w:szCs w:val="24"/>
        </w:rPr>
        <w:t>Dance</w:t>
      </w:r>
      <w:r w:rsidRPr="00ED5526">
        <w:rPr>
          <w:rFonts w:ascii="Roboto" w:hAnsi="Roboto"/>
          <w:color w:val="17365D" w:themeColor="text2" w:themeShade="BF"/>
          <w:kern w:val="24"/>
          <w:sz w:val="24"/>
          <w:szCs w:val="24"/>
        </w:rPr>
        <w:t xml:space="preserve"> Lead: </w:t>
      </w:r>
      <w:r w:rsidRPr="00ED5526">
        <w:rPr>
          <w:rFonts w:ascii="Roboto" w:hAnsi="Roboto"/>
          <w:noProof/>
          <w:color w:val="17365D" w:themeColor="text2" w:themeShade="BF"/>
          <w:kern w:val="24"/>
          <w:sz w:val="24"/>
          <w:szCs w:val="24"/>
        </w:rPr>
        <w:t>Francesca George</w:t>
      </w:r>
    </w:p>
    <w:p w14:paraId="23B599C2" w14:textId="77777777" w:rsidR="00ED5526" w:rsidRPr="00ED5526" w:rsidRDefault="00ED5526" w:rsidP="00727627">
      <w:pPr>
        <w:spacing w:after="120" w:line="240" w:lineRule="auto"/>
        <w:rPr>
          <w:rFonts w:ascii="Roboto" w:hAnsi="Roboto"/>
          <w:color w:val="17365D" w:themeColor="text2" w:themeShade="BF"/>
          <w:kern w:val="24"/>
          <w:sz w:val="24"/>
          <w:szCs w:val="24"/>
        </w:rPr>
      </w:pPr>
    </w:p>
    <w:p w14:paraId="08D861D9" w14:textId="77777777" w:rsidR="00ED5526" w:rsidRPr="00ED5526" w:rsidRDefault="00ED5526" w:rsidP="00727627">
      <w:pPr>
        <w:spacing w:after="120" w:line="240" w:lineRule="auto"/>
        <w:rPr>
          <w:rFonts w:ascii="Roboto" w:hAnsi="Roboto"/>
          <w:color w:val="17365D" w:themeColor="text2" w:themeShade="BF"/>
          <w:kern w:val="24"/>
          <w:sz w:val="24"/>
          <w:szCs w:val="24"/>
        </w:rPr>
      </w:pPr>
      <w:r w:rsidRPr="00ED5526">
        <w:rPr>
          <w:rFonts w:ascii="Roboto" w:hAnsi="Roboto"/>
          <w:color w:val="17365D" w:themeColor="text2" w:themeShade="BF"/>
          <w:kern w:val="24"/>
          <w:sz w:val="24"/>
          <w:szCs w:val="24"/>
        </w:rPr>
        <w:t xml:space="preserve">Exam Board: </w:t>
      </w:r>
      <w:r w:rsidRPr="00ED5526">
        <w:rPr>
          <w:rFonts w:ascii="Roboto" w:hAnsi="Roboto"/>
          <w:noProof/>
          <w:color w:val="17365D" w:themeColor="text2" w:themeShade="BF"/>
          <w:kern w:val="24"/>
          <w:sz w:val="24"/>
          <w:szCs w:val="24"/>
        </w:rPr>
        <w:t>Pearson</w:t>
      </w:r>
      <w:r w:rsidRPr="00ED5526">
        <w:rPr>
          <w:rFonts w:ascii="Roboto" w:hAnsi="Roboto"/>
          <w:color w:val="17365D" w:themeColor="text2" w:themeShade="BF"/>
          <w:kern w:val="24"/>
          <w:sz w:val="24"/>
          <w:szCs w:val="24"/>
        </w:rPr>
        <w:t xml:space="preserve"> </w:t>
      </w:r>
    </w:p>
    <w:p w14:paraId="702E8869" w14:textId="77777777" w:rsidR="00ED5526" w:rsidRPr="00ED5526" w:rsidRDefault="00ED5526" w:rsidP="00727627">
      <w:pPr>
        <w:spacing w:after="120" w:line="240" w:lineRule="auto"/>
        <w:rPr>
          <w:rFonts w:ascii="Roboto" w:hAnsi="Roboto"/>
          <w:color w:val="17365D" w:themeColor="text2" w:themeShade="BF"/>
          <w:kern w:val="24"/>
          <w:sz w:val="24"/>
          <w:szCs w:val="24"/>
        </w:rPr>
      </w:pPr>
      <w:r w:rsidRPr="00ED5526">
        <w:rPr>
          <w:rFonts w:ascii="Roboto" w:hAnsi="Roboto"/>
          <w:color w:val="17365D" w:themeColor="text2" w:themeShade="BF"/>
          <w:kern w:val="24"/>
          <w:sz w:val="24"/>
          <w:szCs w:val="24"/>
        </w:rPr>
        <w:t xml:space="preserve">Qualification type: </w:t>
      </w:r>
      <w:r w:rsidRPr="00ED5526">
        <w:rPr>
          <w:rFonts w:ascii="Roboto" w:hAnsi="Roboto"/>
          <w:noProof/>
          <w:color w:val="17365D" w:themeColor="text2" w:themeShade="BF"/>
          <w:kern w:val="24"/>
          <w:sz w:val="24"/>
          <w:szCs w:val="24"/>
        </w:rPr>
        <w:t>BTEC</w:t>
      </w:r>
    </w:p>
    <w:p w14:paraId="44342865" w14:textId="77777777" w:rsidR="00ED5526" w:rsidRPr="00ED5526" w:rsidRDefault="00ED5526" w:rsidP="00727627">
      <w:pPr>
        <w:spacing w:after="120" w:line="240" w:lineRule="auto"/>
        <w:rPr>
          <w:rFonts w:ascii="Roboto" w:hAnsi="Roboto"/>
          <w:b/>
          <w:bCs/>
          <w:color w:val="17365D" w:themeColor="text2" w:themeShade="BF"/>
          <w:kern w:val="24"/>
          <w:sz w:val="28"/>
          <w:szCs w:val="28"/>
        </w:rPr>
      </w:pPr>
    </w:p>
    <w:p w14:paraId="1FFE7519" w14:textId="77777777" w:rsidR="00ED5526" w:rsidRPr="00ED5526" w:rsidRDefault="00ED5526" w:rsidP="00727627">
      <w:pPr>
        <w:spacing w:after="120" w:line="240" w:lineRule="auto"/>
        <w:rPr>
          <w:rFonts w:ascii="Roboto" w:hAnsi="Roboto"/>
          <w:b/>
          <w:bCs/>
          <w:color w:val="17365D" w:themeColor="text2" w:themeShade="BF"/>
          <w:kern w:val="24"/>
          <w:sz w:val="24"/>
          <w:szCs w:val="24"/>
        </w:rPr>
      </w:pPr>
      <w:r w:rsidRPr="00ED5526">
        <w:rPr>
          <w:rFonts w:ascii="Roboto" w:hAnsi="Roboto"/>
          <w:b/>
          <w:bCs/>
          <w:color w:val="17365D" w:themeColor="text2" w:themeShade="BF"/>
          <w:kern w:val="24"/>
          <w:sz w:val="24"/>
          <w:szCs w:val="24"/>
        </w:rPr>
        <w:t>Intent</w:t>
      </w:r>
    </w:p>
    <w:p w14:paraId="7FDF01B7" w14:textId="77777777" w:rsidR="00ED5526" w:rsidRPr="00ED5526" w:rsidRDefault="00ED5526" w:rsidP="00727627">
      <w:pPr>
        <w:spacing w:after="120" w:line="240" w:lineRule="auto"/>
        <w:rPr>
          <w:rFonts w:ascii="Roboto" w:hAnsi="Roboto"/>
          <w:color w:val="17365D" w:themeColor="text2" w:themeShade="BF"/>
          <w:kern w:val="24"/>
          <w:u w:val="single"/>
        </w:rPr>
      </w:pPr>
      <w:r w:rsidRPr="00ED5526">
        <w:rPr>
          <w:rFonts w:ascii="Roboto" w:hAnsi="Roboto"/>
          <w:color w:val="17365D" w:themeColor="text2" w:themeShade="BF"/>
          <w:kern w:val="24"/>
          <w:u w:val="single"/>
        </w:rPr>
        <w:t xml:space="preserve">Principles of the </w:t>
      </w:r>
      <w:r w:rsidRPr="00ED5526">
        <w:rPr>
          <w:rFonts w:ascii="Roboto" w:hAnsi="Roboto"/>
          <w:noProof/>
          <w:color w:val="17365D" w:themeColor="text2" w:themeShade="BF"/>
          <w:kern w:val="24"/>
          <w:u w:val="single"/>
        </w:rPr>
        <w:t>Dance</w:t>
      </w:r>
      <w:r w:rsidRPr="00ED5526">
        <w:rPr>
          <w:rFonts w:ascii="Roboto" w:hAnsi="Roboto"/>
          <w:color w:val="17365D" w:themeColor="text2" w:themeShade="BF"/>
          <w:kern w:val="24"/>
          <w:u w:val="single"/>
        </w:rPr>
        <w:t xml:space="preserve"> Curriculum</w:t>
      </w:r>
    </w:p>
    <w:p w14:paraId="2951CE2E" w14:textId="6C42F73C" w:rsidR="00ED5526" w:rsidRPr="00ED5526" w:rsidRDefault="00ED5526" w:rsidP="00727627">
      <w:pPr>
        <w:spacing w:after="120" w:line="240" w:lineRule="auto"/>
        <w:rPr>
          <w:rFonts w:ascii="Roboto" w:hAnsi="Roboto"/>
          <w:color w:val="17365D" w:themeColor="text2" w:themeShade="BF"/>
          <w:kern w:val="24"/>
        </w:rPr>
      </w:pPr>
      <w:r w:rsidRPr="00ED5526">
        <w:rPr>
          <w:rFonts w:ascii="Roboto" w:hAnsi="Roboto"/>
          <w:color w:val="17365D" w:themeColor="text2" w:themeShade="BF"/>
          <w:kern w:val="24"/>
        </w:rPr>
        <w:t xml:space="preserve">The United Curriculum for </w:t>
      </w:r>
      <w:r w:rsidRPr="00ED5526">
        <w:rPr>
          <w:rFonts w:ascii="Roboto" w:hAnsi="Roboto"/>
          <w:noProof/>
          <w:color w:val="17365D" w:themeColor="text2" w:themeShade="BF"/>
          <w:kern w:val="24"/>
        </w:rPr>
        <w:t>Dance</w:t>
      </w:r>
      <w:r w:rsidRPr="00ED5526">
        <w:rPr>
          <w:rFonts w:ascii="Roboto" w:hAnsi="Roboto"/>
          <w:color w:val="17365D" w:themeColor="text2" w:themeShade="BF"/>
          <w:kern w:val="24"/>
        </w:rPr>
        <w:t xml:space="preserve"> is built upon the core United Curriculum principles available </w:t>
      </w:r>
      <w:hyperlink r:id="rId6" w:history="1">
        <w:r>
          <w:rPr>
            <w:rFonts w:ascii="Roboto" w:hAnsi="Roboto"/>
            <w:b/>
            <w:bCs/>
            <w:color w:val="17365D" w:themeColor="text2" w:themeShade="BF"/>
            <w:kern w:val="24"/>
          </w:rPr>
          <w:t>here</w:t>
        </w:r>
      </w:hyperlink>
      <w:r w:rsidRPr="00ED5526">
        <w:rPr>
          <w:rFonts w:ascii="Roboto" w:hAnsi="Roboto"/>
          <w:color w:val="17365D" w:themeColor="text2" w:themeShade="BF"/>
          <w:kern w:val="24"/>
        </w:rPr>
        <w:t>.</w:t>
      </w:r>
    </w:p>
    <w:p w14:paraId="425F8890" w14:textId="77777777" w:rsidR="00ED5526" w:rsidRPr="00ED5526" w:rsidRDefault="00ED5526" w:rsidP="00727627">
      <w:pPr>
        <w:spacing w:after="120" w:line="240" w:lineRule="auto"/>
        <w:rPr>
          <w:rFonts w:ascii="Roboto" w:hAnsi="Roboto"/>
          <w:color w:val="17365D" w:themeColor="text2" w:themeShade="BF"/>
          <w:kern w:val="24"/>
        </w:rPr>
      </w:pPr>
    </w:p>
    <w:p w14:paraId="6606CB96" w14:textId="77777777" w:rsidR="00ED5526" w:rsidRPr="00ED5526" w:rsidRDefault="00ED5526" w:rsidP="00727627">
      <w:pPr>
        <w:spacing w:after="120" w:line="240" w:lineRule="auto"/>
        <w:rPr>
          <w:rFonts w:ascii="Roboto" w:hAnsi="Roboto"/>
          <w:color w:val="17365D" w:themeColor="text2" w:themeShade="BF"/>
          <w:kern w:val="24"/>
        </w:rPr>
      </w:pPr>
      <w:r w:rsidRPr="00ED5526">
        <w:rPr>
          <w:rFonts w:ascii="Roboto" w:hAnsi="Roboto"/>
          <w:noProof/>
          <w:color w:val="17365D" w:themeColor="text2" w:themeShade="BF"/>
          <w:kern w:val="24"/>
        </w:rPr>
        <w:t>Our Dance curriculum is sequenced to allow students to develop their creativity, dance technique and knowledge through analysis of dance practitioners, professional repertoire; as well as their own choreographic works. New content is introduced each year at key stage 3 within their core PE dance unit and then built upon within Level 2 and Level 3 courses, developing students understanding by making connections to prior knowledge whilst rapidly building in complexity. We aim to develop thinking dancers through the appreciation of many different dance genres throughout their studies.</w:t>
      </w:r>
    </w:p>
    <w:p w14:paraId="2DBD1A14" w14:textId="77777777" w:rsidR="00ED5526" w:rsidRPr="00ED5526" w:rsidRDefault="00ED5526" w:rsidP="00727627">
      <w:pPr>
        <w:spacing w:after="120" w:line="240" w:lineRule="auto"/>
        <w:rPr>
          <w:rFonts w:ascii="Roboto" w:hAnsi="Roboto"/>
          <w:color w:val="17365D" w:themeColor="text2" w:themeShade="BF"/>
          <w:kern w:val="24"/>
        </w:rPr>
      </w:pPr>
    </w:p>
    <w:p w14:paraId="4A9E29E9" w14:textId="77777777" w:rsidR="00ED5526" w:rsidRPr="00ED5526" w:rsidRDefault="00ED5526" w:rsidP="00727627">
      <w:pPr>
        <w:spacing w:after="120" w:line="240" w:lineRule="auto"/>
        <w:rPr>
          <w:rFonts w:ascii="Roboto" w:hAnsi="Roboto"/>
          <w:color w:val="17365D" w:themeColor="text2" w:themeShade="BF"/>
          <w:kern w:val="24"/>
        </w:rPr>
      </w:pPr>
      <w:r w:rsidRPr="00ED5526">
        <w:rPr>
          <w:rFonts w:ascii="Roboto" w:hAnsi="Roboto"/>
          <w:color w:val="17365D" w:themeColor="text2" w:themeShade="BF"/>
          <w:kern w:val="24"/>
        </w:rPr>
        <w:t>The rationale behind the sequencing of lessons:</w:t>
      </w:r>
    </w:p>
    <w:p w14:paraId="30BAB5C6" w14:textId="77777777" w:rsidR="00ED5526" w:rsidRPr="00ED5526" w:rsidRDefault="00ED5526" w:rsidP="00727627">
      <w:pPr>
        <w:spacing w:after="120" w:line="240" w:lineRule="auto"/>
        <w:rPr>
          <w:rFonts w:ascii="Roboto" w:hAnsi="Roboto"/>
          <w:color w:val="17365D" w:themeColor="text2" w:themeShade="BF"/>
          <w:kern w:val="24"/>
        </w:rPr>
      </w:pPr>
      <w:r w:rsidRPr="00ED5526">
        <w:rPr>
          <w:rFonts w:ascii="Roboto" w:hAnsi="Roboto"/>
          <w:noProof/>
          <w:color w:val="17365D" w:themeColor="text2" w:themeShade="BF"/>
          <w:kern w:val="24"/>
        </w:rPr>
        <w:t>The lessons are timetabled to allow students to explore dance holistically and understand how component 1 and 2 develops their skills for their final externally assessed unit - Component 3 'responding to a brief'.  Do now tasks are used to check recall understanding of previously taught content that will then be developed within the lesson. Homework is used to consolidate learning and practise skills required e.g. extended writing tasks required within reviewing and analysis coursework criteria.</w:t>
      </w:r>
    </w:p>
    <w:p w14:paraId="05DC3683" w14:textId="77777777" w:rsidR="00ED5526" w:rsidRPr="00ED5526" w:rsidRDefault="00ED5526" w:rsidP="00551850">
      <w:pPr>
        <w:spacing w:after="120" w:line="240" w:lineRule="auto"/>
        <w:rPr>
          <w:rFonts w:ascii="Roboto" w:hAnsi="Roboto"/>
          <w:b/>
          <w:bCs/>
          <w:color w:val="17365D" w:themeColor="text2" w:themeShade="BF"/>
          <w:kern w:val="24"/>
          <w:sz w:val="24"/>
          <w:szCs w:val="24"/>
        </w:rPr>
      </w:pPr>
    </w:p>
    <w:p w14:paraId="6C24014D" w14:textId="77777777" w:rsidR="00ED5526" w:rsidRPr="00ED5526" w:rsidRDefault="00ED5526" w:rsidP="00551850">
      <w:pPr>
        <w:spacing w:after="120" w:line="240" w:lineRule="auto"/>
        <w:rPr>
          <w:rFonts w:ascii="Roboto" w:hAnsi="Roboto"/>
          <w:b/>
          <w:bCs/>
          <w:color w:val="17365D" w:themeColor="text2" w:themeShade="BF"/>
          <w:kern w:val="24"/>
          <w:sz w:val="24"/>
          <w:szCs w:val="24"/>
        </w:rPr>
      </w:pPr>
      <w:r w:rsidRPr="00ED5526">
        <w:rPr>
          <w:rFonts w:ascii="Roboto" w:hAnsi="Roboto"/>
          <w:b/>
          <w:bCs/>
          <w:color w:val="17365D" w:themeColor="text2" w:themeShade="BF"/>
          <w:kern w:val="24"/>
          <w:sz w:val="24"/>
          <w:szCs w:val="24"/>
        </w:rPr>
        <w:t>Implementation</w:t>
      </w:r>
    </w:p>
    <w:p w14:paraId="3C52CC47" w14:textId="77777777" w:rsidR="00ED5526" w:rsidRPr="00ED5526" w:rsidRDefault="00ED5526" w:rsidP="00727627">
      <w:pPr>
        <w:spacing w:after="120" w:line="240" w:lineRule="auto"/>
        <w:rPr>
          <w:rFonts w:ascii="Roboto" w:hAnsi="Roboto"/>
          <w:color w:val="17365D" w:themeColor="text2" w:themeShade="BF"/>
          <w:kern w:val="24"/>
        </w:rPr>
      </w:pPr>
      <w:r w:rsidRPr="00ED5526">
        <w:rPr>
          <w:rFonts w:ascii="Roboto" w:hAnsi="Roboto"/>
          <w:color w:val="17365D" w:themeColor="text2" w:themeShade="BF"/>
          <w:kern w:val="24"/>
        </w:rPr>
        <w:t xml:space="preserve">In Key Stage 4 the </w:t>
      </w:r>
      <w:r w:rsidRPr="00ED5526">
        <w:rPr>
          <w:rFonts w:ascii="Roboto" w:hAnsi="Roboto"/>
          <w:noProof/>
          <w:color w:val="17365D" w:themeColor="text2" w:themeShade="BF"/>
          <w:kern w:val="24"/>
        </w:rPr>
        <w:t>Dance</w:t>
      </w:r>
      <w:r w:rsidRPr="00ED5526">
        <w:rPr>
          <w:rFonts w:ascii="Roboto" w:hAnsi="Roboto"/>
          <w:color w:val="17365D" w:themeColor="text2" w:themeShade="BF"/>
          <w:kern w:val="24"/>
        </w:rPr>
        <w:t xml:space="preserve"> curriculum is implemented as follows:</w:t>
      </w:r>
    </w:p>
    <w:p w14:paraId="4F738972" w14:textId="77777777" w:rsidR="00ED5526" w:rsidRPr="00ED5526" w:rsidRDefault="00ED5526" w:rsidP="00727627">
      <w:pPr>
        <w:spacing w:after="120" w:line="240" w:lineRule="auto"/>
        <w:rPr>
          <w:rFonts w:ascii="Roboto" w:hAnsi="Roboto"/>
          <w:b/>
          <w:bCs/>
          <w:color w:val="17365D" w:themeColor="text2" w:themeShade="BF"/>
          <w:kern w:val="24"/>
        </w:rPr>
      </w:pPr>
    </w:p>
    <w:p w14:paraId="1E6CC976" w14:textId="77777777" w:rsidR="00ED5526" w:rsidRPr="00ED5526" w:rsidRDefault="00ED5526" w:rsidP="00727627">
      <w:pPr>
        <w:spacing w:after="120" w:line="240" w:lineRule="auto"/>
        <w:rPr>
          <w:rFonts w:ascii="Roboto" w:hAnsi="Roboto"/>
          <w:b/>
          <w:bCs/>
          <w:color w:val="17365D" w:themeColor="text2" w:themeShade="BF"/>
          <w:kern w:val="24"/>
        </w:rPr>
      </w:pPr>
      <w:r w:rsidRPr="00ED5526">
        <w:rPr>
          <w:rFonts w:ascii="Roboto" w:hAnsi="Roboto"/>
          <w:b/>
          <w:bCs/>
          <w:color w:val="17365D" w:themeColor="text2" w:themeShade="BF"/>
          <w:kern w:val="24"/>
        </w:rPr>
        <w:t>Year 10</w:t>
      </w:r>
    </w:p>
    <w:p w14:paraId="4E796EAF" w14:textId="77777777" w:rsidR="00ED5526" w:rsidRPr="00ED5526" w:rsidRDefault="00ED5526" w:rsidP="0020388A">
      <w:pPr>
        <w:spacing w:after="120" w:line="240" w:lineRule="auto"/>
        <w:rPr>
          <w:rFonts w:ascii="Roboto" w:hAnsi="Roboto"/>
          <w:noProof/>
          <w:color w:val="17365D" w:themeColor="text2" w:themeShade="BF"/>
          <w:kern w:val="24"/>
        </w:rPr>
      </w:pPr>
      <w:r w:rsidRPr="00ED5526">
        <w:rPr>
          <w:rFonts w:ascii="Roboto" w:hAnsi="Roboto"/>
          <w:noProof/>
          <w:color w:val="17365D" w:themeColor="text2" w:themeShade="BF"/>
          <w:kern w:val="24"/>
        </w:rPr>
        <w:t xml:space="preserve">The year 10 curriculum build on the KS3 dance units taught within core PE. students will learn by replicating professional repertoire, practical technique lessons, independent research, choreographic workshops and dance analysis lessons.  </w:t>
      </w:r>
    </w:p>
    <w:p w14:paraId="23981FF8" w14:textId="77777777" w:rsidR="00ED5526" w:rsidRPr="00ED5526" w:rsidRDefault="00ED5526" w:rsidP="0020388A">
      <w:pPr>
        <w:spacing w:after="120" w:line="240" w:lineRule="auto"/>
        <w:rPr>
          <w:rFonts w:ascii="Roboto" w:hAnsi="Roboto"/>
          <w:noProof/>
          <w:color w:val="17365D" w:themeColor="text2" w:themeShade="BF"/>
          <w:kern w:val="24"/>
        </w:rPr>
      </w:pPr>
      <w:r w:rsidRPr="00ED5526">
        <w:rPr>
          <w:rFonts w:ascii="Roboto" w:hAnsi="Roboto"/>
          <w:noProof/>
          <w:color w:val="17365D" w:themeColor="text2" w:themeShade="BF"/>
          <w:kern w:val="24"/>
        </w:rPr>
        <w:t xml:space="preserve">Learning professional repertoire in year 10 is important to develop understanding of different practitioners stylistic qualities in preparation for the competition of Component 2 at the start of year 11. </w:t>
      </w:r>
    </w:p>
    <w:p w14:paraId="1E0F3241" w14:textId="77777777" w:rsidR="00ED5526" w:rsidRPr="00ED5526" w:rsidRDefault="00ED5526" w:rsidP="00727627">
      <w:pPr>
        <w:spacing w:after="120" w:line="240" w:lineRule="auto"/>
        <w:rPr>
          <w:rFonts w:ascii="Roboto" w:hAnsi="Roboto"/>
          <w:color w:val="17365D" w:themeColor="text2" w:themeShade="BF"/>
          <w:kern w:val="24"/>
        </w:rPr>
      </w:pPr>
    </w:p>
    <w:p w14:paraId="4807B431" w14:textId="77777777" w:rsidR="00ED5526" w:rsidRPr="00ED5526" w:rsidRDefault="00ED5526" w:rsidP="00727627">
      <w:pPr>
        <w:spacing w:after="120" w:line="240" w:lineRule="auto"/>
        <w:rPr>
          <w:rFonts w:ascii="Roboto" w:hAnsi="Roboto"/>
          <w:b/>
          <w:bCs/>
          <w:color w:val="17365D" w:themeColor="text2" w:themeShade="BF"/>
          <w:kern w:val="24"/>
        </w:rPr>
      </w:pPr>
      <w:r w:rsidRPr="00ED5526">
        <w:rPr>
          <w:rFonts w:ascii="Roboto" w:hAnsi="Roboto"/>
          <w:b/>
          <w:bCs/>
          <w:color w:val="17365D" w:themeColor="text2" w:themeShade="BF"/>
          <w:kern w:val="24"/>
        </w:rPr>
        <w:lastRenderedPageBreak/>
        <w:t>Year 11</w:t>
      </w:r>
    </w:p>
    <w:p w14:paraId="6A9887B3" w14:textId="77777777" w:rsidR="00ED5526" w:rsidRPr="00ED5526" w:rsidRDefault="00ED5526" w:rsidP="00727627">
      <w:pPr>
        <w:spacing w:after="120" w:line="240" w:lineRule="auto"/>
        <w:rPr>
          <w:rFonts w:ascii="Roboto" w:hAnsi="Roboto"/>
          <w:color w:val="17365D" w:themeColor="text2" w:themeShade="BF"/>
          <w:kern w:val="24"/>
        </w:rPr>
      </w:pPr>
      <w:r w:rsidRPr="00ED5526">
        <w:rPr>
          <w:rFonts w:ascii="Roboto" w:hAnsi="Roboto"/>
          <w:noProof/>
          <w:color w:val="17365D" w:themeColor="text2" w:themeShade="BF"/>
          <w:kern w:val="24"/>
        </w:rPr>
        <w:t>The year 11 dance curriculum sees the students complete the final two components for their course. Students will complete component 1 in the Autumn term and component 3 between January and April.</w:t>
      </w:r>
    </w:p>
    <w:p w14:paraId="789ADE4D" w14:textId="77777777" w:rsidR="00ED5526" w:rsidRPr="00ED5526" w:rsidRDefault="00ED5526" w:rsidP="00727627">
      <w:pPr>
        <w:rPr>
          <w:rFonts w:ascii="Roboto" w:hAnsi="Roboto"/>
          <w:color w:val="17365D" w:themeColor="text2" w:themeShade="BF"/>
        </w:rPr>
      </w:pPr>
    </w:p>
    <w:p w14:paraId="684F2EF9" w14:textId="77777777" w:rsidR="00ED5526" w:rsidRPr="00ED5526" w:rsidRDefault="00ED5526" w:rsidP="00727627">
      <w:pPr>
        <w:spacing w:after="120" w:line="240" w:lineRule="auto"/>
        <w:rPr>
          <w:rFonts w:ascii="Roboto" w:hAnsi="Roboto"/>
          <w:b/>
          <w:bCs/>
          <w:color w:val="17365D" w:themeColor="text2" w:themeShade="BF"/>
          <w:kern w:val="24"/>
          <w:sz w:val="24"/>
          <w:szCs w:val="24"/>
        </w:rPr>
      </w:pPr>
      <w:r w:rsidRPr="00ED5526">
        <w:rPr>
          <w:rFonts w:ascii="Roboto" w:hAnsi="Roboto"/>
          <w:b/>
          <w:bCs/>
          <w:color w:val="17365D" w:themeColor="text2" w:themeShade="BF"/>
          <w:kern w:val="24"/>
          <w:sz w:val="24"/>
          <w:szCs w:val="24"/>
        </w:rPr>
        <w:t>Impact</w:t>
      </w:r>
    </w:p>
    <w:p w14:paraId="40CA022A" w14:textId="77777777" w:rsidR="00ED5526" w:rsidRPr="00ED5526" w:rsidRDefault="00ED5526" w:rsidP="00727627">
      <w:pPr>
        <w:rPr>
          <w:rFonts w:ascii="Roboto" w:hAnsi="Roboto"/>
          <w:color w:val="17365D" w:themeColor="text2" w:themeShade="BF"/>
          <w:kern w:val="24"/>
          <w:lang w:val="en-GB"/>
        </w:rPr>
      </w:pPr>
      <w:r w:rsidRPr="00ED5526">
        <w:rPr>
          <w:rFonts w:ascii="Roboto" w:hAnsi="Roboto"/>
          <w:color w:val="17365D" w:themeColor="text2" w:themeShade="BF"/>
          <w:kern w:val="24"/>
        </w:rPr>
        <w:t xml:space="preserve">The careful sequencing of the curriculum – and how concepts are gradually built over time – is the progression model. If pupils keep up with the curriculum, they are making progress. Formative assessment is </w:t>
      </w:r>
      <w:proofErr w:type="spellStart"/>
      <w:r w:rsidRPr="00ED5526">
        <w:rPr>
          <w:rFonts w:ascii="Roboto" w:hAnsi="Roboto"/>
          <w:color w:val="17365D" w:themeColor="text2" w:themeShade="BF"/>
          <w:kern w:val="24"/>
        </w:rPr>
        <w:t>prioritised</w:t>
      </w:r>
      <w:proofErr w:type="spellEnd"/>
      <w:r w:rsidRPr="00ED5526">
        <w:rPr>
          <w:rFonts w:ascii="Roboto" w:hAnsi="Roboto"/>
          <w:color w:val="17365D" w:themeColor="text2" w:themeShade="BF"/>
          <w:kern w:val="24"/>
        </w:rPr>
        <w:t xml:space="preserve"> and is focused on whether pupils are keeping up with the curriculum.</w:t>
      </w:r>
    </w:p>
    <w:p w14:paraId="20C1DAD4" w14:textId="77777777" w:rsidR="00ED5526" w:rsidRPr="00ED5526" w:rsidRDefault="00ED5526" w:rsidP="00727627">
      <w:pPr>
        <w:rPr>
          <w:rFonts w:ascii="Roboto" w:hAnsi="Roboto"/>
          <w:color w:val="17365D" w:themeColor="text2" w:themeShade="BF"/>
          <w:kern w:val="24"/>
          <w:lang w:val="en-GB"/>
        </w:rPr>
      </w:pPr>
      <w:r w:rsidRPr="00ED5526">
        <w:rPr>
          <w:rFonts w:ascii="Roboto" w:hAnsi="Roboto"/>
          <w:color w:val="17365D" w:themeColor="text2" w:themeShade="BF"/>
          <w:kern w:val="24"/>
        </w:rPr>
        <w:t>In general, this is done through:</w:t>
      </w:r>
    </w:p>
    <w:p w14:paraId="47F4BB20" w14:textId="77777777" w:rsidR="00ED5526" w:rsidRPr="00ED5526" w:rsidRDefault="00ED5526" w:rsidP="00727627">
      <w:pPr>
        <w:numPr>
          <w:ilvl w:val="0"/>
          <w:numId w:val="4"/>
        </w:numPr>
        <w:rPr>
          <w:rFonts w:ascii="Roboto" w:hAnsi="Roboto"/>
          <w:color w:val="17365D" w:themeColor="text2" w:themeShade="BF"/>
          <w:kern w:val="24"/>
          <w:lang w:val="en-GB"/>
        </w:rPr>
      </w:pPr>
      <w:r w:rsidRPr="00ED5526">
        <w:rPr>
          <w:rFonts w:ascii="Roboto" w:hAnsi="Roboto"/>
          <w:color w:val="17365D" w:themeColor="text2" w:themeShade="BF"/>
          <w:kern w:val="24"/>
        </w:rPr>
        <w:t>Questioning in lessons. Teachers check understanding so they can fill gaps and address misconceptions as required.</w:t>
      </w:r>
    </w:p>
    <w:p w14:paraId="12BB98BD" w14:textId="77777777" w:rsidR="00ED5526" w:rsidRPr="00ED5526" w:rsidRDefault="00ED5526" w:rsidP="00727627">
      <w:pPr>
        <w:numPr>
          <w:ilvl w:val="0"/>
          <w:numId w:val="4"/>
        </w:numPr>
        <w:rPr>
          <w:rFonts w:ascii="Roboto" w:hAnsi="Roboto"/>
          <w:color w:val="17365D" w:themeColor="text2" w:themeShade="BF"/>
          <w:kern w:val="24"/>
          <w:lang w:val="en-GB"/>
        </w:rPr>
      </w:pPr>
      <w:r w:rsidRPr="00ED5526">
        <w:rPr>
          <w:rFonts w:ascii="Roboto" w:hAnsi="Roboto"/>
          <w:color w:val="17365D" w:themeColor="text2" w:themeShade="BF"/>
          <w:kern w:val="24"/>
        </w:rPr>
        <w:t>Pupil conferencing with books. Subject leads and SLT talk to pupils about what they have learnt – both substantive and disciplinary knowledge – and how this connects to the vertical concepts that they have been developing in previous years and other subjects.</w:t>
      </w:r>
      <w:r w:rsidRPr="00ED5526">
        <w:rPr>
          <w:rFonts w:ascii="Roboto" w:hAnsi="Roboto"/>
          <w:b/>
          <w:bCs/>
          <w:color w:val="17365D" w:themeColor="text2" w:themeShade="BF"/>
          <w:kern w:val="24"/>
        </w:rPr>
        <w:t xml:space="preserve"> </w:t>
      </w:r>
    </w:p>
    <w:p w14:paraId="41DF4388" w14:textId="77777777" w:rsidR="00ED5526" w:rsidRPr="00ED5526" w:rsidRDefault="00ED5526" w:rsidP="00727627">
      <w:pPr>
        <w:numPr>
          <w:ilvl w:val="0"/>
          <w:numId w:val="4"/>
        </w:numPr>
        <w:rPr>
          <w:rFonts w:ascii="Roboto" w:hAnsi="Roboto"/>
          <w:color w:val="17365D" w:themeColor="text2" w:themeShade="BF"/>
          <w:kern w:val="24"/>
          <w:lang w:val="en-GB"/>
        </w:rPr>
      </w:pPr>
      <w:r w:rsidRPr="00ED5526">
        <w:rPr>
          <w:rFonts w:ascii="Roboto" w:hAnsi="Roboto"/>
          <w:color w:val="17365D" w:themeColor="text2" w:themeShade="BF"/>
          <w:kern w:val="24"/>
        </w:rPr>
        <w:t xml:space="preserve">Post-learning quizzes at the end of each unit. These give teachers an understanding of the knowledge that pupils can recall at the end of the unit and can be used to identify any remaining gaps to be filled. </w:t>
      </w:r>
    </w:p>
    <w:p w14:paraId="2D2E8D14" w14:textId="77777777" w:rsidR="00ED5526" w:rsidRPr="00ED5526" w:rsidRDefault="00ED5526" w:rsidP="00727627">
      <w:pPr>
        <w:numPr>
          <w:ilvl w:val="0"/>
          <w:numId w:val="4"/>
        </w:numPr>
        <w:rPr>
          <w:rFonts w:ascii="Roboto" w:hAnsi="Roboto"/>
          <w:color w:val="17365D" w:themeColor="text2" w:themeShade="BF"/>
          <w:kern w:val="24"/>
          <w:lang w:val="en-GB"/>
        </w:rPr>
      </w:pPr>
      <w:r w:rsidRPr="00ED5526">
        <w:rPr>
          <w:rFonts w:ascii="Roboto" w:hAnsi="Roboto"/>
          <w:color w:val="17365D" w:themeColor="text2" w:themeShade="BF"/>
          <w:kern w:val="24"/>
        </w:rPr>
        <w:t xml:space="preserve">Pre-learning quizzes at the start of each unit. These assess pupils’ understanding of the prior knowledge that is required to access the new content in the unit. These are used to identify gaps to be filled prior to teaching the new unit. </w:t>
      </w:r>
    </w:p>
    <w:p w14:paraId="48633F51" w14:textId="77777777" w:rsidR="00ED5526" w:rsidRDefault="00ED5526"/>
    <w:sectPr w:rsidR="00ED5526"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989674130">
    <w:abstractNumId w:val="8"/>
  </w:num>
  <w:num w:numId="2" w16cid:durableId="220336801">
    <w:abstractNumId w:val="6"/>
  </w:num>
  <w:num w:numId="3" w16cid:durableId="1253473486">
    <w:abstractNumId w:val="5"/>
  </w:num>
  <w:num w:numId="4" w16cid:durableId="1060833969">
    <w:abstractNumId w:val="4"/>
  </w:num>
  <w:num w:numId="5" w16cid:durableId="1168641341">
    <w:abstractNumId w:val="7"/>
  </w:num>
  <w:num w:numId="6" w16cid:durableId="326633642">
    <w:abstractNumId w:val="3"/>
  </w:num>
  <w:num w:numId="7" w16cid:durableId="1669597212">
    <w:abstractNumId w:val="2"/>
  </w:num>
  <w:num w:numId="8" w16cid:durableId="378557854">
    <w:abstractNumId w:val="1"/>
  </w:num>
  <w:num w:numId="9" w16cid:durableId="12750933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6D44C2"/>
    <w:rsid w:val="0088409B"/>
    <w:rsid w:val="00AA1D8D"/>
    <w:rsid w:val="00B47730"/>
    <w:rsid w:val="00CB0664"/>
    <w:rsid w:val="00ED552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00"/>
  <w15:docId w15:val="{83826FE5-7B97-4F13-AACE-93DC4F045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montsaye.org/curriculu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495</Words>
  <Characters>2825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3314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 Finan</cp:lastModifiedBy>
  <cp:revision>2</cp:revision>
  <dcterms:created xsi:type="dcterms:W3CDTF">2013-12-23T23:15:00Z</dcterms:created>
  <dcterms:modified xsi:type="dcterms:W3CDTF">2026-04-26T16:20:00Z</dcterms:modified>
  <cp:category/>
</cp:coreProperties>
</file>