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029E" w14:textId="77777777" w:rsidR="00245B6B" w:rsidRPr="00727627" w:rsidRDefault="00245B6B"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Pr="00736CBC">
        <w:rPr>
          <w:b/>
          <w:bCs/>
          <w:noProof/>
          <w:color w:val="002060"/>
          <w:kern w:val="24"/>
          <w:sz w:val="28"/>
          <w:szCs w:val="28"/>
        </w:rPr>
        <w:t>Design and Technology</w:t>
      </w:r>
    </w:p>
    <w:p w14:paraId="2F5723CB" w14:textId="77777777" w:rsidR="00245B6B" w:rsidRPr="00245B6B" w:rsidRDefault="00245B6B" w:rsidP="00727627">
      <w:pPr>
        <w:spacing w:after="120" w:line="240" w:lineRule="auto"/>
        <w:rPr>
          <w:rFonts w:ascii="Roboto" w:hAnsi="Roboto"/>
          <w:color w:val="17365D" w:themeColor="text2" w:themeShade="BF"/>
          <w:kern w:val="24"/>
          <w:sz w:val="24"/>
          <w:szCs w:val="24"/>
        </w:rPr>
      </w:pPr>
      <w:r w:rsidRPr="00245B6B">
        <w:rPr>
          <w:rFonts w:ascii="Roboto" w:hAnsi="Roboto"/>
          <w:noProof/>
          <w:color w:val="17365D" w:themeColor="text2" w:themeShade="BF"/>
          <w:kern w:val="24"/>
          <w:sz w:val="24"/>
          <w:szCs w:val="24"/>
        </w:rPr>
        <w:t>Design and Technology</w:t>
      </w:r>
      <w:r w:rsidRPr="00245B6B">
        <w:rPr>
          <w:rFonts w:ascii="Roboto" w:hAnsi="Roboto"/>
          <w:color w:val="17365D" w:themeColor="text2" w:themeShade="BF"/>
          <w:kern w:val="24"/>
          <w:sz w:val="24"/>
          <w:szCs w:val="24"/>
        </w:rPr>
        <w:t xml:space="preserve"> Lead: </w:t>
      </w:r>
      <w:r w:rsidRPr="00245B6B">
        <w:rPr>
          <w:rFonts w:ascii="Roboto" w:hAnsi="Roboto"/>
          <w:noProof/>
          <w:color w:val="17365D" w:themeColor="text2" w:themeShade="BF"/>
          <w:kern w:val="24"/>
          <w:sz w:val="24"/>
          <w:szCs w:val="24"/>
        </w:rPr>
        <w:t>Andrew Turner</w:t>
      </w:r>
    </w:p>
    <w:p w14:paraId="3D04E5A8" w14:textId="77777777" w:rsidR="00245B6B" w:rsidRPr="00245B6B" w:rsidRDefault="00245B6B" w:rsidP="00727627">
      <w:pPr>
        <w:spacing w:after="120" w:line="240" w:lineRule="auto"/>
        <w:rPr>
          <w:rFonts w:ascii="Roboto" w:hAnsi="Roboto"/>
          <w:color w:val="17365D" w:themeColor="text2" w:themeShade="BF"/>
          <w:kern w:val="24"/>
          <w:sz w:val="24"/>
          <w:szCs w:val="24"/>
        </w:rPr>
      </w:pPr>
    </w:p>
    <w:p w14:paraId="7FEB3FBC" w14:textId="77777777" w:rsidR="00245B6B" w:rsidRPr="00245B6B" w:rsidRDefault="00245B6B" w:rsidP="00727627">
      <w:pPr>
        <w:spacing w:after="120" w:line="240" w:lineRule="auto"/>
        <w:rPr>
          <w:rFonts w:ascii="Roboto" w:hAnsi="Roboto"/>
          <w:color w:val="17365D" w:themeColor="text2" w:themeShade="BF"/>
          <w:kern w:val="24"/>
          <w:sz w:val="24"/>
          <w:szCs w:val="24"/>
        </w:rPr>
      </w:pPr>
      <w:r w:rsidRPr="00245B6B">
        <w:rPr>
          <w:rFonts w:ascii="Roboto" w:hAnsi="Roboto"/>
          <w:color w:val="17365D" w:themeColor="text2" w:themeShade="BF"/>
          <w:kern w:val="24"/>
          <w:sz w:val="24"/>
          <w:szCs w:val="24"/>
        </w:rPr>
        <w:t xml:space="preserve">Exam Board: </w:t>
      </w:r>
      <w:r w:rsidRPr="00245B6B">
        <w:rPr>
          <w:rFonts w:ascii="Roboto" w:hAnsi="Roboto"/>
          <w:noProof/>
          <w:color w:val="17365D" w:themeColor="text2" w:themeShade="BF"/>
          <w:kern w:val="24"/>
          <w:sz w:val="24"/>
          <w:szCs w:val="24"/>
        </w:rPr>
        <w:t>OCR</w:t>
      </w:r>
      <w:r w:rsidRPr="00245B6B">
        <w:rPr>
          <w:rFonts w:ascii="Roboto" w:hAnsi="Roboto"/>
          <w:color w:val="17365D" w:themeColor="text2" w:themeShade="BF"/>
          <w:kern w:val="24"/>
          <w:sz w:val="24"/>
          <w:szCs w:val="24"/>
        </w:rPr>
        <w:t xml:space="preserve"> </w:t>
      </w:r>
    </w:p>
    <w:p w14:paraId="7EF90A1A" w14:textId="77777777" w:rsidR="00245B6B" w:rsidRPr="00245B6B" w:rsidRDefault="00245B6B" w:rsidP="00727627">
      <w:pPr>
        <w:spacing w:after="120" w:line="240" w:lineRule="auto"/>
        <w:rPr>
          <w:rFonts w:ascii="Roboto" w:hAnsi="Roboto"/>
          <w:color w:val="17365D" w:themeColor="text2" w:themeShade="BF"/>
          <w:kern w:val="24"/>
          <w:sz w:val="24"/>
          <w:szCs w:val="24"/>
        </w:rPr>
      </w:pPr>
      <w:r w:rsidRPr="00245B6B">
        <w:rPr>
          <w:rFonts w:ascii="Roboto" w:hAnsi="Roboto"/>
          <w:color w:val="17365D" w:themeColor="text2" w:themeShade="BF"/>
          <w:kern w:val="24"/>
          <w:sz w:val="24"/>
          <w:szCs w:val="24"/>
        </w:rPr>
        <w:t xml:space="preserve">Qualification type: </w:t>
      </w:r>
      <w:r w:rsidRPr="00245B6B">
        <w:rPr>
          <w:rFonts w:ascii="Roboto" w:hAnsi="Roboto"/>
          <w:noProof/>
          <w:color w:val="17365D" w:themeColor="text2" w:themeShade="BF"/>
          <w:kern w:val="24"/>
          <w:sz w:val="24"/>
          <w:szCs w:val="24"/>
        </w:rPr>
        <w:t>GCSE</w:t>
      </w:r>
    </w:p>
    <w:p w14:paraId="33057C8F" w14:textId="77777777" w:rsidR="00245B6B" w:rsidRPr="00245B6B" w:rsidRDefault="00245B6B" w:rsidP="00727627">
      <w:pPr>
        <w:spacing w:after="120" w:line="240" w:lineRule="auto"/>
        <w:rPr>
          <w:rFonts w:ascii="Roboto" w:hAnsi="Roboto"/>
          <w:b/>
          <w:bCs/>
          <w:color w:val="17365D" w:themeColor="text2" w:themeShade="BF"/>
          <w:kern w:val="24"/>
          <w:sz w:val="28"/>
          <w:szCs w:val="28"/>
        </w:rPr>
      </w:pPr>
    </w:p>
    <w:p w14:paraId="74885030" w14:textId="77777777" w:rsidR="00245B6B" w:rsidRPr="00245B6B" w:rsidRDefault="00245B6B" w:rsidP="00727627">
      <w:pPr>
        <w:spacing w:after="120" w:line="240" w:lineRule="auto"/>
        <w:rPr>
          <w:rFonts w:ascii="Roboto" w:hAnsi="Roboto"/>
          <w:b/>
          <w:bCs/>
          <w:color w:val="17365D" w:themeColor="text2" w:themeShade="BF"/>
          <w:kern w:val="24"/>
          <w:sz w:val="24"/>
          <w:szCs w:val="24"/>
        </w:rPr>
      </w:pPr>
      <w:r w:rsidRPr="00245B6B">
        <w:rPr>
          <w:rFonts w:ascii="Roboto" w:hAnsi="Roboto"/>
          <w:b/>
          <w:bCs/>
          <w:color w:val="17365D" w:themeColor="text2" w:themeShade="BF"/>
          <w:kern w:val="24"/>
          <w:sz w:val="24"/>
          <w:szCs w:val="24"/>
        </w:rPr>
        <w:t>Intent</w:t>
      </w:r>
    </w:p>
    <w:p w14:paraId="2C794444" w14:textId="77777777" w:rsidR="00245B6B" w:rsidRPr="00245B6B" w:rsidRDefault="00245B6B" w:rsidP="00727627">
      <w:pPr>
        <w:spacing w:after="120" w:line="240" w:lineRule="auto"/>
        <w:rPr>
          <w:rFonts w:ascii="Roboto" w:hAnsi="Roboto"/>
          <w:color w:val="17365D" w:themeColor="text2" w:themeShade="BF"/>
          <w:kern w:val="24"/>
          <w:u w:val="single"/>
        </w:rPr>
      </w:pPr>
      <w:r w:rsidRPr="00245B6B">
        <w:rPr>
          <w:rFonts w:ascii="Roboto" w:hAnsi="Roboto"/>
          <w:color w:val="17365D" w:themeColor="text2" w:themeShade="BF"/>
          <w:kern w:val="24"/>
          <w:u w:val="single"/>
        </w:rPr>
        <w:t xml:space="preserve">Principles of the </w:t>
      </w:r>
      <w:r w:rsidRPr="00245B6B">
        <w:rPr>
          <w:rFonts w:ascii="Roboto" w:hAnsi="Roboto"/>
          <w:noProof/>
          <w:color w:val="17365D" w:themeColor="text2" w:themeShade="BF"/>
          <w:kern w:val="24"/>
          <w:u w:val="single"/>
        </w:rPr>
        <w:t>Design and Technology</w:t>
      </w:r>
      <w:r w:rsidRPr="00245B6B">
        <w:rPr>
          <w:rFonts w:ascii="Roboto" w:hAnsi="Roboto"/>
          <w:color w:val="17365D" w:themeColor="text2" w:themeShade="BF"/>
          <w:kern w:val="24"/>
          <w:u w:val="single"/>
        </w:rPr>
        <w:t xml:space="preserve"> Curriculum</w:t>
      </w:r>
    </w:p>
    <w:p w14:paraId="433C9DE0" w14:textId="778957C4" w:rsidR="00245B6B" w:rsidRPr="00245B6B" w:rsidRDefault="00245B6B" w:rsidP="00727627">
      <w:pPr>
        <w:spacing w:after="120" w:line="240" w:lineRule="auto"/>
        <w:rPr>
          <w:rFonts w:ascii="Roboto" w:hAnsi="Roboto"/>
          <w:color w:val="17365D" w:themeColor="text2" w:themeShade="BF"/>
          <w:kern w:val="24"/>
        </w:rPr>
      </w:pPr>
      <w:r w:rsidRPr="00245B6B">
        <w:rPr>
          <w:rFonts w:ascii="Roboto" w:hAnsi="Roboto"/>
          <w:color w:val="17365D" w:themeColor="text2" w:themeShade="BF"/>
          <w:kern w:val="24"/>
        </w:rPr>
        <w:t xml:space="preserve">The United Curriculum for </w:t>
      </w:r>
      <w:r w:rsidRPr="00245B6B">
        <w:rPr>
          <w:rFonts w:ascii="Roboto" w:hAnsi="Roboto"/>
          <w:noProof/>
          <w:color w:val="17365D" w:themeColor="text2" w:themeShade="BF"/>
          <w:kern w:val="24"/>
        </w:rPr>
        <w:t>Design and Technology</w:t>
      </w:r>
      <w:r w:rsidRPr="00245B6B">
        <w:rPr>
          <w:rFonts w:ascii="Roboto" w:hAnsi="Roboto"/>
          <w:color w:val="17365D" w:themeColor="text2" w:themeShade="BF"/>
          <w:kern w:val="24"/>
        </w:rPr>
        <w:t xml:space="preserve"> is built upon the core United Curriculum principles available </w:t>
      </w:r>
      <w:hyperlink r:id="rId6" w:history="1">
        <w:r>
          <w:rPr>
            <w:rFonts w:ascii="Roboto" w:hAnsi="Roboto"/>
            <w:b/>
            <w:bCs/>
            <w:color w:val="17365D" w:themeColor="text2" w:themeShade="BF"/>
            <w:kern w:val="24"/>
          </w:rPr>
          <w:t>here</w:t>
        </w:r>
      </w:hyperlink>
      <w:r w:rsidRPr="00245B6B">
        <w:rPr>
          <w:rFonts w:ascii="Roboto" w:hAnsi="Roboto"/>
          <w:color w:val="17365D" w:themeColor="text2" w:themeShade="BF"/>
          <w:kern w:val="24"/>
        </w:rPr>
        <w:t>.</w:t>
      </w:r>
    </w:p>
    <w:p w14:paraId="0781648F" w14:textId="77777777" w:rsidR="00245B6B" w:rsidRPr="00245B6B" w:rsidRDefault="00245B6B" w:rsidP="00727627">
      <w:pPr>
        <w:spacing w:after="120" w:line="240" w:lineRule="auto"/>
        <w:rPr>
          <w:rFonts w:ascii="Roboto" w:hAnsi="Roboto"/>
          <w:color w:val="17365D" w:themeColor="text2" w:themeShade="BF"/>
          <w:kern w:val="24"/>
        </w:rPr>
      </w:pPr>
    </w:p>
    <w:p w14:paraId="09FB6EAF" w14:textId="77777777" w:rsidR="00245B6B" w:rsidRPr="00245B6B" w:rsidRDefault="00245B6B" w:rsidP="0020388A">
      <w:pPr>
        <w:spacing w:after="120" w:line="240" w:lineRule="auto"/>
        <w:rPr>
          <w:rFonts w:ascii="Roboto" w:hAnsi="Roboto"/>
          <w:noProof/>
          <w:color w:val="17365D" w:themeColor="text2" w:themeShade="BF"/>
          <w:kern w:val="24"/>
        </w:rPr>
      </w:pPr>
      <w:r w:rsidRPr="00245B6B">
        <w:rPr>
          <w:rFonts w:ascii="Roboto" w:hAnsi="Roboto"/>
          <w:noProof/>
          <w:color w:val="17365D" w:themeColor="text2" w:themeShade="BF"/>
          <w:kern w:val="24"/>
        </w:rPr>
        <w:t>Design and Technology will raise awareness about the design process and creativity products go through in their life cycle.  From the raw materials, to the preparation and manufacture.  The learners will look at what customers expect from a product, how it is designed, made and used and finally how it is disposed of and how these stages affect the environment, raising the understanding and appreciation of the products we use and how it changes the world in which we live. They will follow this strategy to produce a series of product solutions to a variety of briefs across four material areas. They will explore Food Preparation and Nutrition, Textile Design, Timber, Polymers and Systems throughout their school journey.</w:t>
      </w:r>
    </w:p>
    <w:p w14:paraId="0DD1F3EA" w14:textId="77777777" w:rsidR="00245B6B" w:rsidRPr="00245B6B" w:rsidRDefault="00245B6B" w:rsidP="00727627">
      <w:pPr>
        <w:spacing w:after="120" w:line="240" w:lineRule="auto"/>
        <w:rPr>
          <w:rFonts w:ascii="Roboto" w:hAnsi="Roboto"/>
          <w:color w:val="17365D" w:themeColor="text2" w:themeShade="BF"/>
          <w:kern w:val="24"/>
        </w:rPr>
      </w:pPr>
    </w:p>
    <w:p w14:paraId="4A86FE4C" w14:textId="77777777" w:rsidR="00245B6B" w:rsidRPr="00245B6B" w:rsidRDefault="00245B6B" w:rsidP="00727627">
      <w:pPr>
        <w:spacing w:after="120" w:line="240" w:lineRule="auto"/>
        <w:rPr>
          <w:rFonts w:ascii="Roboto" w:hAnsi="Roboto"/>
          <w:color w:val="17365D" w:themeColor="text2" w:themeShade="BF"/>
          <w:kern w:val="24"/>
        </w:rPr>
      </w:pPr>
    </w:p>
    <w:p w14:paraId="37D67C7B" w14:textId="77777777" w:rsidR="00245B6B" w:rsidRPr="00245B6B" w:rsidRDefault="00245B6B" w:rsidP="00727627">
      <w:pPr>
        <w:spacing w:after="120" w:line="240" w:lineRule="auto"/>
        <w:rPr>
          <w:rFonts w:ascii="Roboto" w:hAnsi="Roboto"/>
          <w:color w:val="17365D" w:themeColor="text2" w:themeShade="BF"/>
          <w:kern w:val="24"/>
        </w:rPr>
      </w:pPr>
      <w:r w:rsidRPr="00245B6B">
        <w:rPr>
          <w:rFonts w:ascii="Roboto" w:hAnsi="Roboto"/>
          <w:color w:val="17365D" w:themeColor="text2" w:themeShade="BF"/>
          <w:kern w:val="24"/>
        </w:rPr>
        <w:t>The rationale behind the sequencing of lessons:</w:t>
      </w:r>
    </w:p>
    <w:p w14:paraId="3A72507A" w14:textId="77777777" w:rsidR="00245B6B" w:rsidRPr="00245B6B" w:rsidRDefault="00245B6B" w:rsidP="00727627">
      <w:pPr>
        <w:spacing w:after="120" w:line="240" w:lineRule="auto"/>
        <w:rPr>
          <w:rFonts w:ascii="Roboto" w:hAnsi="Roboto"/>
          <w:color w:val="17365D" w:themeColor="text2" w:themeShade="BF"/>
          <w:kern w:val="24"/>
        </w:rPr>
      </w:pPr>
      <w:r w:rsidRPr="00245B6B">
        <w:rPr>
          <w:rFonts w:ascii="Roboto" w:hAnsi="Roboto"/>
          <w:noProof/>
          <w:color w:val="17365D" w:themeColor="text2" w:themeShade="BF"/>
          <w:kern w:val="24"/>
        </w:rPr>
        <w:t>The learners will develop their understanding of key materials and the NEA through key building blocks throughout the year, developing a clear development cycle that is informed by material choices as the year progresses giving student opportunities explore the iterative design process but also develop knowledge of key design decisions.</w:t>
      </w:r>
    </w:p>
    <w:p w14:paraId="4E863156" w14:textId="77777777" w:rsidR="00245B6B" w:rsidRPr="00245B6B" w:rsidRDefault="00245B6B" w:rsidP="00551850">
      <w:pPr>
        <w:spacing w:after="120" w:line="240" w:lineRule="auto"/>
        <w:rPr>
          <w:rFonts w:ascii="Roboto" w:hAnsi="Roboto"/>
          <w:b/>
          <w:bCs/>
          <w:color w:val="17365D" w:themeColor="text2" w:themeShade="BF"/>
          <w:kern w:val="24"/>
          <w:sz w:val="24"/>
          <w:szCs w:val="24"/>
        </w:rPr>
      </w:pPr>
    </w:p>
    <w:p w14:paraId="0D1F81FE" w14:textId="77777777" w:rsidR="00245B6B" w:rsidRPr="00245B6B" w:rsidRDefault="00245B6B" w:rsidP="00551850">
      <w:pPr>
        <w:spacing w:after="120" w:line="240" w:lineRule="auto"/>
        <w:rPr>
          <w:rFonts w:ascii="Roboto" w:hAnsi="Roboto"/>
          <w:b/>
          <w:bCs/>
          <w:color w:val="17365D" w:themeColor="text2" w:themeShade="BF"/>
          <w:kern w:val="24"/>
          <w:sz w:val="24"/>
          <w:szCs w:val="24"/>
        </w:rPr>
      </w:pPr>
      <w:r w:rsidRPr="00245B6B">
        <w:rPr>
          <w:rFonts w:ascii="Roboto" w:hAnsi="Roboto"/>
          <w:b/>
          <w:bCs/>
          <w:color w:val="17365D" w:themeColor="text2" w:themeShade="BF"/>
          <w:kern w:val="24"/>
          <w:sz w:val="24"/>
          <w:szCs w:val="24"/>
        </w:rPr>
        <w:t>Implementation</w:t>
      </w:r>
    </w:p>
    <w:p w14:paraId="0CCAA745" w14:textId="77777777" w:rsidR="00245B6B" w:rsidRPr="00245B6B" w:rsidRDefault="00245B6B" w:rsidP="00727627">
      <w:pPr>
        <w:spacing w:after="120" w:line="240" w:lineRule="auto"/>
        <w:rPr>
          <w:rFonts w:ascii="Roboto" w:hAnsi="Roboto"/>
          <w:color w:val="17365D" w:themeColor="text2" w:themeShade="BF"/>
          <w:kern w:val="24"/>
        </w:rPr>
      </w:pPr>
      <w:r w:rsidRPr="00245B6B">
        <w:rPr>
          <w:rFonts w:ascii="Roboto" w:hAnsi="Roboto"/>
          <w:color w:val="17365D" w:themeColor="text2" w:themeShade="BF"/>
          <w:kern w:val="24"/>
        </w:rPr>
        <w:t xml:space="preserve">In Key Stage 4 the </w:t>
      </w:r>
      <w:r w:rsidRPr="00245B6B">
        <w:rPr>
          <w:rFonts w:ascii="Roboto" w:hAnsi="Roboto"/>
          <w:noProof/>
          <w:color w:val="17365D" w:themeColor="text2" w:themeShade="BF"/>
          <w:kern w:val="24"/>
        </w:rPr>
        <w:t>Design and Technology</w:t>
      </w:r>
      <w:r w:rsidRPr="00245B6B">
        <w:rPr>
          <w:rFonts w:ascii="Roboto" w:hAnsi="Roboto"/>
          <w:color w:val="17365D" w:themeColor="text2" w:themeShade="BF"/>
          <w:kern w:val="24"/>
        </w:rPr>
        <w:t xml:space="preserve"> curriculum is implemented as follows:</w:t>
      </w:r>
    </w:p>
    <w:p w14:paraId="557FCC2B" w14:textId="77777777" w:rsidR="00245B6B" w:rsidRPr="00245B6B" w:rsidRDefault="00245B6B" w:rsidP="00727627">
      <w:pPr>
        <w:spacing w:after="120" w:line="240" w:lineRule="auto"/>
        <w:rPr>
          <w:rFonts w:ascii="Roboto" w:hAnsi="Roboto"/>
          <w:b/>
          <w:bCs/>
          <w:color w:val="17365D" w:themeColor="text2" w:themeShade="BF"/>
          <w:kern w:val="24"/>
        </w:rPr>
      </w:pPr>
    </w:p>
    <w:p w14:paraId="22C8801D" w14:textId="4F0D1105" w:rsidR="00245B6B" w:rsidRPr="00245B6B" w:rsidRDefault="00245B6B" w:rsidP="00727627">
      <w:pPr>
        <w:spacing w:after="120" w:line="240" w:lineRule="auto"/>
        <w:rPr>
          <w:rFonts w:ascii="Roboto" w:hAnsi="Roboto"/>
          <w:b/>
          <w:bCs/>
          <w:color w:val="17365D" w:themeColor="text2" w:themeShade="BF"/>
          <w:kern w:val="24"/>
        </w:rPr>
      </w:pPr>
      <w:r w:rsidRPr="00245B6B">
        <w:rPr>
          <w:rFonts w:ascii="Roboto" w:hAnsi="Roboto"/>
          <w:b/>
          <w:bCs/>
          <w:color w:val="17365D" w:themeColor="text2" w:themeShade="BF"/>
          <w:kern w:val="24"/>
        </w:rPr>
        <w:t>Year 10</w:t>
      </w:r>
      <w:r w:rsidR="00C77821">
        <w:rPr>
          <w:rFonts w:ascii="Roboto" w:hAnsi="Roboto"/>
          <w:b/>
          <w:bCs/>
          <w:color w:val="17365D" w:themeColor="text2" w:themeShade="BF"/>
          <w:kern w:val="24"/>
        </w:rPr>
        <w:t xml:space="preserve"> &amp; 11</w:t>
      </w:r>
    </w:p>
    <w:p w14:paraId="00E7A0FF" w14:textId="77777777" w:rsidR="00245B6B" w:rsidRPr="00245B6B" w:rsidRDefault="00245B6B" w:rsidP="00727627">
      <w:pPr>
        <w:spacing w:after="120" w:line="240" w:lineRule="auto"/>
        <w:rPr>
          <w:rFonts w:ascii="Roboto" w:hAnsi="Roboto"/>
          <w:color w:val="17365D" w:themeColor="text2" w:themeShade="BF"/>
          <w:kern w:val="24"/>
        </w:rPr>
      </w:pPr>
      <w:r w:rsidRPr="00245B6B">
        <w:rPr>
          <w:rFonts w:ascii="Roboto" w:hAnsi="Roboto"/>
          <w:noProof/>
          <w:color w:val="17365D" w:themeColor="text2" w:themeShade="BF"/>
          <w:kern w:val="24"/>
        </w:rPr>
        <w:t xml:space="preserve">We complete a range of practical tasks based on real world problems, from tooling to sports equipment. They will develop specialist tooling knowledge across a range of materials with the focus on timber, polymers and metals. The design process is backed up with use of the Computer Aided Design, through gaining knowledge of </w:t>
      </w:r>
      <w:r w:rsidRPr="00245B6B">
        <w:rPr>
          <w:rFonts w:ascii="Roboto" w:hAnsi="Roboto"/>
          <w:noProof/>
          <w:color w:val="17365D" w:themeColor="text2" w:themeShade="BF"/>
          <w:kern w:val="24"/>
        </w:rPr>
        <w:lastRenderedPageBreak/>
        <w:t>Onshape/Blender and vector graphics software. Students will have weekly exam content knowledge lessons and extensive long answer question support</w:t>
      </w:r>
    </w:p>
    <w:p w14:paraId="2040839E" w14:textId="77777777" w:rsidR="00245B6B" w:rsidRPr="00245B6B" w:rsidRDefault="00245B6B" w:rsidP="00727627">
      <w:pPr>
        <w:rPr>
          <w:rFonts w:ascii="Roboto" w:hAnsi="Roboto"/>
          <w:color w:val="17365D" w:themeColor="text2" w:themeShade="BF"/>
        </w:rPr>
      </w:pPr>
    </w:p>
    <w:p w14:paraId="660613E5" w14:textId="77777777" w:rsidR="00245B6B" w:rsidRPr="00245B6B" w:rsidRDefault="00245B6B" w:rsidP="00727627">
      <w:pPr>
        <w:spacing w:after="120" w:line="240" w:lineRule="auto"/>
        <w:rPr>
          <w:rFonts w:ascii="Roboto" w:hAnsi="Roboto"/>
          <w:b/>
          <w:bCs/>
          <w:color w:val="17365D" w:themeColor="text2" w:themeShade="BF"/>
          <w:kern w:val="24"/>
          <w:sz w:val="24"/>
          <w:szCs w:val="24"/>
        </w:rPr>
      </w:pPr>
      <w:r w:rsidRPr="00245B6B">
        <w:rPr>
          <w:rFonts w:ascii="Roboto" w:hAnsi="Roboto"/>
          <w:b/>
          <w:bCs/>
          <w:color w:val="17365D" w:themeColor="text2" w:themeShade="BF"/>
          <w:kern w:val="24"/>
          <w:sz w:val="24"/>
          <w:szCs w:val="24"/>
        </w:rPr>
        <w:t>Impact</w:t>
      </w:r>
    </w:p>
    <w:p w14:paraId="12362DAF" w14:textId="77777777" w:rsidR="00245B6B" w:rsidRPr="00245B6B" w:rsidRDefault="00245B6B" w:rsidP="00727627">
      <w:pPr>
        <w:rPr>
          <w:rFonts w:ascii="Roboto" w:hAnsi="Roboto"/>
          <w:color w:val="17365D" w:themeColor="text2" w:themeShade="BF"/>
          <w:kern w:val="24"/>
          <w:lang w:val="en-GB"/>
        </w:rPr>
      </w:pPr>
      <w:r w:rsidRPr="00245B6B">
        <w:rPr>
          <w:rFonts w:ascii="Roboto" w:hAnsi="Roboto"/>
          <w:color w:val="17365D" w:themeColor="text2" w:themeShade="BF"/>
          <w:kern w:val="24"/>
        </w:rPr>
        <w:t xml:space="preserve">The careful sequencing of the curriculum – and how concepts are gradually built over time – is the progression model. If pupils keep up with the curriculum, they are making progress. Formative assessment is </w:t>
      </w:r>
      <w:proofErr w:type="spellStart"/>
      <w:r w:rsidRPr="00245B6B">
        <w:rPr>
          <w:rFonts w:ascii="Roboto" w:hAnsi="Roboto"/>
          <w:color w:val="17365D" w:themeColor="text2" w:themeShade="BF"/>
          <w:kern w:val="24"/>
        </w:rPr>
        <w:t>prioritised</w:t>
      </w:r>
      <w:proofErr w:type="spellEnd"/>
      <w:r w:rsidRPr="00245B6B">
        <w:rPr>
          <w:rFonts w:ascii="Roboto" w:hAnsi="Roboto"/>
          <w:color w:val="17365D" w:themeColor="text2" w:themeShade="BF"/>
          <w:kern w:val="24"/>
        </w:rPr>
        <w:t xml:space="preserve"> and is focused on whether pupils are keeping up with the curriculum.</w:t>
      </w:r>
    </w:p>
    <w:p w14:paraId="43833EDB" w14:textId="77777777" w:rsidR="00245B6B" w:rsidRPr="00245B6B" w:rsidRDefault="00245B6B" w:rsidP="00727627">
      <w:pPr>
        <w:rPr>
          <w:rFonts w:ascii="Roboto" w:hAnsi="Roboto"/>
          <w:color w:val="17365D" w:themeColor="text2" w:themeShade="BF"/>
          <w:kern w:val="24"/>
          <w:lang w:val="en-GB"/>
        </w:rPr>
      </w:pPr>
      <w:r w:rsidRPr="00245B6B">
        <w:rPr>
          <w:rFonts w:ascii="Roboto" w:hAnsi="Roboto"/>
          <w:color w:val="17365D" w:themeColor="text2" w:themeShade="BF"/>
          <w:kern w:val="24"/>
        </w:rPr>
        <w:t>In general, this is done through:</w:t>
      </w:r>
    </w:p>
    <w:p w14:paraId="1D0F3ED0" w14:textId="77777777" w:rsidR="00245B6B" w:rsidRPr="00245B6B" w:rsidRDefault="00245B6B" w:rsidP="00727627">
      <w:pPr>
        <w:numPr>
          <w:ilvl w:val="0"/>
          <w:numId w:val="4"/>
        </w:numPr>
        <w:rPr>
          <w:rFonts w:ascii="Roboto" w:hAnsi="Roboto"/>
          <w:color w:val="17365D" w:themeColor="text2" w:themeShade="BF"/>
          <w:kern w:val="24"/>
          <w:lang w:val="en-GB"/>
        </w:rPr>
      </w:pPr>
      <w:r w:rsidRPr="00245B6B">
        <w:rPr>
          <w:rFonts w:ascii="Roboto" w:hAnsi="Roboto"/>
          <w:color w:val="17365D" w:themeColor="text2" w:themeShade="BF"/>
          <w:kern w:val="24"/>
        </w:rPr>
        <w:t>Questioning in lessons. Teachers check understanding so they can fill gaps and address misconceptions as required.</w:t>
      </w:r>
    </w:p>
    <w:p w14:paraId="6CE97093" w14:textId="77777777" w:rsidR="00245B6B" w:rsidRPr="00245B6B" w:rsidRDefault="00245B6B" w:rsidP="00727627">
      <w:pPr>
        <w:numPr>
          <w:ilvl w:val="0"/>
          <w:numId w:val="4"/>
        </w:numPr>
        <w:rPr>
          <w:rFonts w:ascii="Roboto" w:hAnsi="Roboto"/>
          <w:color w:val="17365D" w:themeColor="text2" w:themeShade="BF"/>
          <w:kern w:val="24"/>
          <w:lang w:val="en-GB"/>
        </w:rPr>
      </w:pPr>
      <w:r w:rsidRPr="00245B6B">
        <w:rPr>
          <w:rFonts w:ascii="Roboto" w:hAnsi="Roboto"/>
          <w:color w:val="17365D" w:themeColor="text2" w:themeShade="BF"/>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245B6B">
        <w:rPr>
          <w:rFonts w:ascii="Roboto" w:hAnsi="Roboto"/>
          <w:b/>
          <w:bCs/>
          <w:color w:val="17365D" w:themeColor="text2" w:themeShade="BF"/>
          <w:kern w:val="24"/>
        </w:rPr>
        <w:t xml:space="preserve"> </w:t>
      </w:r>
    </w:p>
    <w:p w14:paraId="5290AE63" w14:textId="77777777" w:rsidR="00245B6B" w:rsidRPr="00245B6B" w:rsidRDefault="00245B6B" w:rsidP="00727627">
      <w:pPr>
        <w:numPr>
          <w:ilvl w:val="0"/>
          <w:numId w:val="4"/>
        </w:numPr>
        <w:rPr>
          <w:rFonts w:ascii="Roboto" w:hAnsi="Roboto"/>
          <w:color w:val="17365D" w:themeColor="text2" w:themeShade="BF"/>
          <w:kern w:val="24"/>
          <w:lang w:val="en-GB"/>
        </w:rPr>
      </w:pPr>
      <w:r w:rsidRPr="00245B6B">
        <w:rPr>
          <w:rFonts w:ascii="Roboto" w:hAnsi="Roboto"/>
          <w:color w:val="17365D" w:themeColor="text2" w:themeShade="BF"/>
          <w:kern w:val="24"/>
        </w:rPr>
        <w:t xml:space="preserve">Post-learning quizzes at the end of each unit. These give teachers an understanding of the knowledge that pupils can recall at the end of the unit and can be used to identify any remaining gaps to be filled. </w:t>
      </w:r>
    </w:p>
    <w:p w14:paraId="137EF6E4" w14:textId="77777777" w:rsidR="00245B6B" w:rsidRPr="00245B6B" w:rsidRDefault="00245B6B" w:rsidP="00727627">
      <w:pPr>
        <w:numPr>
          <w:ilvl w:val="0"/>
          <w:numId w:val="4"/>
        </w:numPr>
        <w:rPr>
          <w:rFonts w:ascii="Roboto" w:hAnsi="Roboto"/>
          <w:color w:val="17365D" w:themeColor="text2" w:themeShade="BF"/>
          <w:kern w:val="24"/>
          <w:lang w:val="en-GB"/>
        </w:rPr>
      </w:pPr>
      <w:r w:rsidRPr="00245B6B">
        <w:rPr>
          <w:rFonts w:ascii="Roboto" w:hAnsi="Roboto"/>
          <w:color w:val="17365D" w:themeColor="text2" w:themeShade="BF"/>
          <w:kern w:val="24"/>
        </w:rPr>
        <w:t xml:space="preserve">Pre-learning quizzes at the start of each unit. These assess pupils’ understanding of the prior knowledge that is required to access the new content in the unit. These are used to identify gaps to be filled prior to teaching the new unit. </w:t>
      </w:r>
    </w:p>
    <w:p w14:paraId="08677D82" w14:textId="77777777" w:rsidR="00245B6B" w:rsidRPr="00245B6B" w:rsidRDefault="00245B6B">
      <w:pPr>
        <w:rPr>
          <w:color w:val="17365D" w:themeColor="text2" w:themeShade="BF"/>
        </w:rPr>
      </w:pPr>
    </w:p>
    <w:sectPr w:rsidR="00245B6B" w:rsidRPr="00245B6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7291596">
    <w:abstractNumId w:val="8"/>
  </w:num>
  <w:num w:numId="2" w16cid:durableId="917128565">
    <w:abstractNumId w:val="6"/>
  </w:num>
  <w:num w:numId="3" w16cid:durableId="1025639113">
    <w:abstractNumId w:val="5"/>
  </w:num>
  <w:num w:numId="4" w16cid:durableId="105544924">
    <w:abstractNumId w:val="4"/>
  </w:num>
  <w:num w:numId="5" w16cid:durableId="663703033">
    <w:abstractNumId w:val="7"/>
  </w:num>
  <w:num w:numId="6" w16cid:durableId="827785793">
    <w:abstractNumId w:val="3"/>
  </w:num>
  <w:num w:numId="7" w16cid:durableId="2106227338">
    <w:abstractNumId w:val="2"/>
  </w:num>
  <w:num w:numId="8" w16cid:durableId="704870899">
    <w:abstractNumId w:val="1"/>
  </w:num>
  <w:num w:numId="9" w16cid:durableId="2096322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5B6B"/>
    <w:rsid w:val="0029639D"/>
    <w:rsid w:val="00326F90"/>
    <w:rsid w:val="0088409B"/>
    <w:rsid w:val="00AA1D8D"/>
    <w:rsid w:val="00B47730"/>
    <w:rsid w:val="00C7782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tsaye.org/curricul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2</cp:revision>
  <dcterms:created xsi:type="dcterms:W3CDTF">2013-12-23T23:15:00Z</dcterms:created>
  <dcterms:modified xsi:type="dcterms:W3CDTF">2026-04-26T16:21:00Z</dcterms:modified>
  <cp:category/>
</cp:coreProperties>
</file>