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C9A7" w14:textId="77777777" w:rsidR="004A4D50" w:rsidRPr="00727627" w:rsidRDefault="004A4D50"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Science</w:t>
      </w:r>
    </w:p>
    <w:p w14:paraId="7608E235" w14:textId="77777777" w:rsidR="004A4D50" w:rsidRPr="004A4D50" w:rsidRDefault="004A4D50" w:rsidP="00727627">
      <w:pPr>
        <w:spacing w:after="120" w:line="240" w:lineRule="auto"/>
        <w:rPr>
          <w:rFonts w:ascii="Roboto" w:hAnsi="Roboto"/>
          <w:color w:val="265898" w:themeColor="text2" w:themeTint="E6"/>
          <w:kern w:val="24"/>
          <w:sz w:val="24"/>
          <w:szCs w:val="24"/>
        </w:rPr>
      </w:pPr>
      <w:r w:rsidRPr="004A4D50">
        <w:rPr>
          <w:rFonts w:ascii="Roboto" w:hAnsi="Roboto"/>
          <w:noProof/>
          <w:color w:val="265898" w:themeColor="text2" w:themeTint="E6"/>
          <w:kern w:val="24"/>
          <w:sz w:val="24"/>
          <w:szCs w:val="24"/>
        </w:rPr>
        <w:t>Science</w:t>
      </w:r>
      <w:r w:rsidRPr="004A4D50">
        <w:rPr>
          <w:rFonts w:ascii="Roboto" w:hAnsi="Roboto"/>
          <w:color w:val="265898" w:themeColor="text2" w:themeTint="E6"/>
          <w:kern w:val="24"/>
          <w:sz w:val="24"/>
          <w:szCs w:val="24"/>
        </w:rPr>
        <w:t xml:space="preserve"> Lead: </w:t>
      </w:r>
      <w:r w:rsidRPr="004A4D50">
        <w:rPr>
          <w:rFonts w:ascii="Roboto" w:hAnsi="Roboto"/>
          <w:noProof/>
          <w:color w:val="265898" w:themeColor="text2" w:themeTint="E6"/>
          <w:kern w:val="24"/>
          <w:sz w:val="24"/>
          <w:szCs w:val="24"/>
        </w:rPr>
        <w:t>Pam Sutliff</w:t>
      </w:r>
    </w:p>
    <w:p w14:paraId="4DDB0397" w14:textId="77777777" w:rsidR="004A4D50" w:rsidRPr="004A4D50" w:rsidRDefault="004A4D50" w:rsidP="00727627">
      <w:pPr>
        <w:spacing w:after="120" w:line="240" w:lineRule="auto"/>
        <w:rPr>
          <w:rFonts w:ascii="Roboto" w:hAnsi="Roboto"/>
          <w:color w:val="265898" w:themeColor="text2" w:themeTint="E6"/>
          <w:kern w:val="24"/>
          <w:sz w:val="24"/>
          <w:szCs w:val="24"/>
        </w:rPr>
      </w:pPr>
    </w:p>
    <w:p w14:paraId="662586E7" w14:textId="77777777" w:rsidR="004A4D50" w:rsidRPr="004A4D50" w:rsidRDefault="004A4D50" w:rsidP="00727627">
      <w:pPr>
        <w:spacing w:after="120" w:line="240" w:lineRule="auto"/>
        <w:rPr>
          <w:rFonts w:ascii="Roboto" w:hAnsi="Roboto"/>
          <w:color w:val="265898" w:themeColor="text2" w:themeTint="E6"/>
          <w:kern w:val="24"/>
          <w:sz w:val="24"/>
          <w:szCs w:val="24"/>
        </w:rPr>
      </w:pPr>
      <w:r w:rsidRPr="004A4D50">
        <w:rPr>
          <w:rFonts w:ascii="Roboto" w:hAnsi="Roboto"/>
          <w:color w:val="265898" w:themeColor="text2" w:themeTint="E6"/>
          <w:kern w:val="24"/>
          <w:sz w:val="24"/>
          <w:szCs w:val="24"/>
        </w:rPr>
        <w:t xml:space="preserve">Exam Board: </w:t>
      </w:r>
      <w:r w:rsidRPr="004A4D50">
        <w:rPr>
          <w:rFonts w:ascii="Roboto" w:hAnsi="Roboto"/>
          <w:noProof/>
          <w:color w:val="265898" w:themeColor="text2" w:themeTint="E6"/>
          <w:kern w:val="24"/>
          <w:sz w:val="24"/>
          <w:szCs w:val="24"/>
        </w:rPr>
        <w:t>AQA</w:t>
      </w:r>
      <w:r w:rsidRPr="004A4D50">
        <w:rPr>
          <w:rFonts w:ascii="Roboto" w:hAnsi="Roboto"/>
          <w:color w:val="265898" w:themeColor="text2" w:themeTint="E6"/>
          <w:kern w:val="24"/>
          <w:sz w:val="24"/>
          <w:szCs w:val="24"/>
        </w:rPr>
        <w:t xml:space="preserve"> </w:t>
      </w:r>
    </w:p>
    <w:p w14:paraId="48B53DF5" w14:textId="3D7EADBC" w:rsidR="004A4D50" w:rsidRPr="004A4D50" w:rsidRDefault="004A4D50" w:rsidP="00727627">
      <w:pPr>
        <w:spacing w:after="120" w:line="240" w:lineRule="auto"/>
        <w:rPr>
          <w:rFonts w:ascii="Roboto" w:hAnsi="Roboto"/>
          <w:color w:val="265898" w:themeColor="text2" w:themeTint="E6"/>
          <w:kern w:val="24"/>
          <w:sz w:val="24"/>
          <w:szCs w:val="24"/>
        </w:rPr>
      </w:pPr>
      <w:r w:rsidRPr="004A4D50">
        <w:rPr>
          <w:rFonts w:ascii="Roboto" w:hAnsi="Roboto"/>
          <w:color w:val="265898" w:themeColor="text2" w:themeTint="E6"/>
          <w:kern w:val="24"/>
          <w:sz w:val="24"/>
          <w:szCs w:val="24"/>
        </w:rPr>
        <w:t>Qualification type: GCSE</w:t>
      </w:r>
    </w:p>
    <w:p w14:paraId="6C16CB60" w14:textId="77777777" w:rsidR="004A4D50" w:rsidRPr="004A4D50" w:rsidRDefault="004A4D50" w:rsidP="00727627">
      <w:pPr>
        <w:spacing w:after="120" w:line="240" w:lineRule="auto"/>
        <w:rPr>
          <w:rFonts w:ascii="Roboto" w:hAnsi="Roboto"/>
          <w:b/>
          <w:bCs/>
          <w:color w:val="265898" w:themeColor="text2" w:themeTint="E6"/>
          <w:kern w:val="24"/>
          <w:sz w:val="28"/>
          <w:szCs w:val="28"/>
        </w:rPr>
      </w:pPr>
    </w:p>
    <w:p w14:paraId="418506E1" w14:textId="77777777" w:rsidR="004A4D50" w:rsidRPr="004A4D50" w:rsidRDefault="004A4D50" w:rsidP="00727627">
      <w:pPr>
        <w:spacing w:after="120" w:line="240" w:lineRule="auto"/>
        <w:rPr>
          <w:rFonts w:ascii="Roboto" w:hAnsi="Roboto"/>
          <w:b/>
          <w:bCs/>
          <w:color w:val="265898" w:themeColor="text2" w:themeTint="E6"/>
          <w:kern w:val="24"/>
          <w:sz w:val="24"/>
          <w:szCs w:val="24"/>
        </w:rPr>
      </w:pPr>
      <w:r w:rsidRPr="004A4D50">
        <w:rPr>
          <w:rFonts w:ascii="Roboto" w:hAnsi="Roboto"/>
          <w:b/>
          <w:bCs/>
          <w:color w:val="265898" w:themeColor="text2" w:themeTint="E6"/>
          <w:kern w:val="24"/>
          <w:sz w:val="24"/>
          <w:szCs w:val="24"/>
        </w:rPr>
        <w:t>Intent</w:t>
      </w:r>
    </w:p>
    <w:p w14:paraId="2765B9E2" w14:textId="77777777" w:rsidR="004A4D50" w:rsidRPr="004A4D50" w:rsidRDefault="004A4D50" w:rsidP="00727627">
      <w:pPr>
        <w:spacing w:after="120" w:line="240" w:lineRule="auto"/>
        <w:rPr>
          <w:rFonts w:ascii="Roboto" w:hAnsi="Roboto"/>
          <w:color w:val="265898" w:themeColor="text2" w:themeTint="E6"/>
          <w:kern w:val="24"/>
          <w:u w:val="single"/>
        </w:rPr>
      </w:pPr>
      <w:r w:rsidRPr="004A4D50">
        <w:rPr>
          <w:rFonts w:ascii="Roboto" w:hAnsi="Roboto"/>
          <w:color w:val="265898" w:themeColor="text2" w:themeTint="E6"/>
          <w:kern w:val="24"/>
          <w:u w:val="single"/>
        </w:rPr>
        <w:t xml:space="preserve">Principles of the </w:t>
      </w:r>
      <w:r w:rsidRPr="004A4D50">
        <w:rPr>
          <w:rFonts w:ascii="Roboto" w:hAnsi="Roboto"/>
          <w:noProof/>
          <w:color w:val="265898" w:themeColor="text2" w:themeTint="E6"/>
          <w:kern w:val="24"/>
          <w:u w:val="single"/>
        </w:rPr>
        <w:t>Science</w:t>
      </w:r>
      <w:r w:rsidRPr="004A4D50">
        <w:rPr>
          <w:rFonts w:ascii="Roboto" w:hAnsi="Roboto"/>
          <w:color w:val="265898" w:themeColor="text2" w:themeTint="E6"/>
          <w:kern w:val="24"/>
          <w:u w:val="single"/>
        </w:rPr>
        <w:t xml:space="preserve"> Curriculum</w:t>
      </w:r>
    </w:p>
    <w:p w14:paraId="0498EC45" w14:textId="2DA172A8" w:rsidR="004A4D50" w:rsidRPr="004A4D50" w:rsidRDefault="004A4D50" w:rsidP="00727627">
      <w:pPr>
        <w:spacing w:after="120" w:line="240" w:lineRule="auto"/>
        <w:rPr>
          <w:rFonts w:ascii="Roboto" w:hAnsi="Roboto"/>
          <w:color w:val="265898" w:themeColor="text2" w:themeTint="E6"/>
          <w:kern w:val="24"/>
        </w:rPr>
      </w:pPr>
      <w:r w:rsidRPr="004A4D50">
        <w:rPr>
          <w:rFonts w:ascii="Roboto" w:hAnsi="Roboto"/>
          <w:color w:val="265898" w:themeColor="text2" w:themeTint="E6"/>
          <w:kern w:val="24"/>
        </w:rPr>
        <w:t xml:space="preserve">The United Curriculum for </w:t>
      </w:r>
      <w:r w:rsidRPr="004A4D50">
        <w:rPr>
          <w:rFonts w:ascii="Roboto" w:hAnsi="Roboto"/>
          <w:noProof/>
          <w:color w:val="265898" w:themeColor="text2" w:themeTint="E6"/>
          <w:kern w:val="24"/>
        </w:rPr>
        <w:t>Science</w:t>
      </w:r>
      <w:r w:rsidRPr="004A4D50">
        <w:rPr>
          <w:rFonts w:ascii="Roboto" w:hAnsi="Roboto"/>
          <w:color w:val="265898" w:themeColor="text2" w:themeTint="E6"/>
          <w:kern w:val="24"/>
        </w:rPr>
        <w:t xml:space="preserve"> is built upon the core United Curriculum principles available </w:t>
      </w:r>
      <w:hyperlink r:id="rId6" w:history="1">
        <w:r>
          <w:rPr>
            <w:rFonts w:ascii="Roboto" w:hAnsi="Roboto"/>
            <w:b/>
            <w:bCs/>
            <w:color w:val="265898" w:themeColor="text2" w:themeTint="E6"/>
            <w:kern w:val="24"/>
          </w:rPr>
          <w:t>here</w:t>
        </w:r>
      </w:hyperlink>
      <w:r w:rsidRPr="004A4D50">
        <w:rPr>
          <w:rFonts w:ascii="Roboto" w:hAnsi="Roboto"/>
          <w:color w:val="265898" w:themeColor="text2" w:themeTint="E6"/>
          <w:kern w:val="24"/>
        </w:rPr>
        <w:t>.</w:t>
      </w:r>
    </w:p>
    <w:p w14:paraId="79ACCC62" w14:textId="77777777" w:rsidR="004A4D50" w:rsidRPr="004A4D50" w:rsidRDefault="004A4D50" w:rsidP="00727627">
      <w:pPr>
        <w:spacing w:after="120" w:line="240" w:lineRule="auto"/>
        <w:rPr>
          <w:rFonts w:ascii="Roboto" w:hAnsi="Roboto"/>
          <w:color w:val="265898" w:themeColor="text2" w:themeTint="E6"/>
          <w:kern w:val="24"/>
        </w:rPr>
      </w:pPr>
    </w:p>
    <w:p w14:paraId="7529CA14" w14:textId="77777777" w:rsidR="004A4D50" w:rsidRPr="004A4D50" w:rsidRDefault="004A4D50" w:rsidP="0020388A">
      <w:pPr>
        <w:spacing w:after="120" w:line="240" w:lineRule="auto"/>
        <w:rPr>
          <w:rFonts w:ascii="Roboto" w:hAnsi="Roboto"/>
          <w:noProof/>
          <w:color w:val="265898" w:themeColor="text2" w:themeTint="E6"/>
          <w:kern w:val="24"/>
        </w:rPr>
      </w:pPr>
      <w:r w:rsidRPr="004A4D50">
        <w:rPr>
          <w:rFonts w:ascii="Roboto" w:hAnsi="Roboto"/>
          <w:noProof/>
          <w:color w:val="265898" w:themeColor="text2" w:themeTint="E6"/>
          <w:kern w:val="24"/>
        </w:rPr>
        <w:t>Our science curriculum is sequenced so that students build an increasingly deep knowledge within scientific themes. New content is introduced in small steps, and students are supported to develop their understanding by connecting this new content with their prior knowledge. Knowledge is revisited over the years to restimulate memory in new contexts. Where appropriate, meaningful links are made with other subjects, particularly geography and mathematics.</w:t>
      </w:r>
    </w:p>
    <w:p w14:paraId="5F3A527B" w14:textId="77777777" w:rsidR="004A4D50" w:rsidRPr="004A4D50" w:rsidRDefault="004A4D50" w:rsidP="0020388A">
      <w:pPr>
        <w:spacing w:after="120" w:line="240" w:lineRule="auto"/>
        <w:rPr>
          <w:rFonts w:ascii="Roboto" w:hAnsi="Roboto"/>
          <w:noProof/>
          <w:color w:val="265898" w:themeColor="text2" w:themeTint="E6"/>
          <w:kern w:val="24"/>
        </w:rPr>
      </w:pPr>
      <w:r w:rsidRPr="004A4D50">
        <w:rPr>
          <w:rFonts w:ascii="Roboto" w:hAnsi="Roboto"/>
          <w:noProof/>
          <w:color w:val="265898" w:themeColor="text2" w:themeTint="E6"/>
          <w:kern w:val="24"/>
        </w:rPr>
        <w:t>Our curriculum links learning to real-life contexts and highlights the relevance of science to everyday situations. Curiosity is nurtured through a practical approach and students develop confidence in the skills and security in the knowledge needed to achieve the highest aspirations.</w:t>
      </w:r>
    </w:p>
    <w:p w14:paraId="5B7B2434" w14:textId="77777777" w:rsidR="004A4D50" w:rsidRPr="004A4D50" w:rsidRDefault="004A4D50" w:rsidP="00727627">
      <w:pPr>
        <w:spacing w:after="120" w:line="240" w:lineRule="auto"/>
        <w:rPr>
          <w:rFonts w:ascii="Roboto" w:hAnsi="Roboto"/>
          <w:color w:val="265898" w:themeColor="text2" w:themeTint="E6"/>
          <w:kern w:val="24"/>
        </w:rPr>
      </w:pPr>
    </w:p>
    <w:p w14:paraId="1E28D1D5" w14:textId="77777777" w:rsidR="004A4D50" w:rsidRPr="004A4D50" w:rsidRDefault="004A4D50" w:rsidP="00727627">
      <w:pPr>
        <w:spacing w:after="120" w:line="240" w:lineRule="auto"/>
        <w:rPr>
          <w:rFonts w:ascii="Roboto" w:hAnsi="Roboto"/>
          <w:color w:val="265898" w:themeColor="text2" w:themeTint="E6"/>
          <w:kern w:val="24"/>
        </w:rPr>
      </w:pPr>
    </w:p>
    <w:p w14:paraId="1F06A449" w14:textId="77777777" w:rsidR="004A4D50" w:rsidRPr="004A4D50" w:rsidRDefault="004A4D50" w:rsidP="00727627">
      <w:pPr>
        <w:spacing w:after="120" w:line="240" w:lineRule="auto"/>
        <w:rPr>
          <w:rFonts w:ascii="Roboto" w:hAnsi="Roboto"/>
          <w:color w:val="265898" w:themeColor="text2" w:themeTint="E6"/>
          <w:kern w:val="24"/>
          <w:u w:val="single"/>
        </w:rPr>
      </w:pPr>
      <w:r w:rsidRPr="004A4D50">
        <w:rPr>
          <w:rFonts w:ascii="Roboto" w:hAnsi="Roboto"/>
          <w:color w:val="265898" w:themeColor="text2" w:themeTint="E6"/>
          <w:kern w:val="24"/>
          <w:u w:val="single"/>
        </w:rPr>
        <w:t>The rationale behind the sequencing of lessons:</w:t>
      </w:r>
    </w:p>
    <w:p w14:paraId="5CD93812" w14:textId="77777777" w:rsidR="004A4D50" w:rsidRPr="004A4D50" w:rsidRDefault="004A4D50" w:rsidP="00727627">
      <w:pPr>
        <w:spacing w:after="120" w:line="240" w:lineRule="auto"/>
        <w:rPr>
          <w:rFonts w:ascii="Roboto" w:hAnsi="Roboto"/>
          <w:color w:val="265898" w:themeColor="text2" w:themeTint="E6"/>
          <w:kern w:val="24"/>
        </w:rPr>
      </w:pPr>
      <w:r w:rsidRPr="004A4D50">
        <w:rPr>
          <w:rFonts w:ascii="Roboto" w:hAnsi="Roboto"/>
          <w:noProof/>
          <w:color w:val="265898" w:themeColor="text2" w:themeTint="E6"/>
          <w:kern w:val="24"/>
        </w:rPr>
        <w:t>The three science disciplines are timetabled separately in year 10 and sequencing within each subject builds on previously learned fundamental concepts. Do now tasks are used to check recall and understanding of previously taught topics that are then developed within the lesson. eg. Students need to understand about atomic structure before they can comprehend ionic and covalent bonding and reactivity. The topic of bioenergetics builds on the basics of photosynthesis taught at KS3. Homework is used to consol</w:t>
      </w:r>
      <w:r w:rsidRPr="004A4D50">
        <w:rPr>
          <w:rFonts w:ascii="Roboto" w:hAnsi="Roboto"/>
          <w:noProof/>
          <w:color w:val="265898" w:themeColor="text2" w:themeTint="E6"/>
          <w:kern w:val="24"/>
        </w:rPr>
        <w:t>idate learning and practise skills required eg. numeracy and extended writing.</w:t>
      </w:r>
    </w:p>
    <w:p w14:paraId="1448E32F" w14:textId="77777777" w:rsidR="004A4D50" w:rsidRPr="004A4D50" w:rsidRDefault="004A4D50" w:rsidP="00551850">
      <w:pPr>
        <w:spacing w:after="120" w:line="240" w:lineRule="auto"/>
        <w:rPr>
          <w:rFonts w:ascii="Roboto" w:hAnsi="Roboto"/>
          <w:b/>
          <w:bCs/>
          <w:color w:val="265898" w:themeColor="text2" w:themeTint="E6"/>
          <w:kern w:val="24"/>
          <w:sz w:val="24"/>
          <w:szCs w:val="24"/>
        </w:rPr>
      </w:pPr>
    </w:p>
    <w:p w14:paraId="4B4030FB" w14:textId="77777777" w:rsidR="004A4D50" w:rsidRPr="004A4D50" w:rsidRDefault="004A4D50" w:rsidP="00551850">
      <w:pPr>
        <w:spacing w:after="120" w:line="240" w:lineRule="auto"/>
        <w:rPr>
          <w:rFonts w:ascii="Roboto" w:hAnsi="Roboto"/>
          <w:b/>
          <w:bCs/>
          <w:color w:val="265898" w:themeColor="text2" w:themeTint="E6"/>
          <w:kern w:val="24"/>
          <w:sz w:val="24"/>
          <w:szCs w:val="24"/>
        </w:rPr>
      </w:pPr>
      <w:r w:rsidRPr="004A4D50">
        <w:rPr>
          <w:rFonts w:ascii="Roboto" w:hAnsi="Roboto"/>
          <w:b/>
          <w:bCs/>
          <w:color w:val="265898" w:themeColor="text2" w:themeTint="E6"/>
          <w:kern w:val="24"/>
          <w:sz w:val="24"/>
          <w:szCs w:val="24"/>
        </w:rPr>
        <w:t>Implementation</w:t>
      </w:r>
    </w:p>
    <w:p w14:paraId="78A3DBC8" w14:textId="77777777" w:rsidR="004A4D50" w:rsidRPr="004A4D50" w:rsidRDefault="004A4D50" w:rsidP="00727627">
      <w:pPr>
        <w:spacing w:after="120" w:line="240" w:lineRule="auto"/>
        <w:rPr>
          <w:rFonts w:ascii="Roboto" w:hAnsi="Roboto"/>
          <w:color w:val="265898" w:themeColor="text2" w:themeTint="E6"/>
          <w:kern w:val="24"/>
        </w:rPr>
      </w:pPr>
      <w:r w:rsidRPr="004A4D50">
        <w:rPr>
          <w:rFonts w:ascii="Roboto" w:hAnsi="Roboto"/>
          <w:color w:val="265898" w:themeColor="text2" w:themeTint="E6"/>
          <w:kern w:val="24"/>
        </w:rPr>
        <w:t xml:space="preserve">In Key Stage 4 the </w:t>
      </w:r>
      <w:r w:rsidRPr="004A4D50">
        <w:rPr>
          <w:rFonts w:ascii="Roboto" w:hAnsi="Roboto"/>
          <w:noProof/>
          <w:color w:val="265898" w:themeColor="text2" w:themeTint="E6"/>
          <w:kern w:val="24"/>
        </w:rPr>
        <w:t>Science</w:t>
      </w:r>
      <w:r w:rsidRPr="004A4D50">
        <w:rPr>
          <w:rFonts w:ascii="Roboto" w:hAnsi="Roboto"/>
          <w:color w:val="265898" w:themeColor="text2" w:themeTint="E6"/>
          <w:kern w:val="24"/>
        </w:rPr>
        <w:t xml:space="preserve"> curriculum is implemented as follows:</w:t>
      </w:r>
    </w:p>
    <w:p w14:paraId="41337640" w14:textId="77777777" w:rsidR="004A4D50" w:rsidRPr="004A4D50" w:rsidRDefault="004A4D50" w:rsidP="00727627">
      <w:pPr>
        <w:spacing w:after="120" w:line="240" w:lineRule="auto"/>
        <w:rPr>
          <w:rFonts w:ascii="Roboto" w:hAnsi="Roboto"/>
          <w:b/>
          <w:bCs/>
          <w:color w:val="265898" w:themeColor="text2" w:themeTint="E6"/>
          <w:kern w:val="24"/>
        </w:rPr>
      </w:pPr>
    </w:p>
    <w:p w14:paraId="6E4C52FC" w14:textId="77777777" w:rsidR="004A4D50" w:rsidRPr="004A4D50" w:rsidRDefault="004A4D50" w:rsidP="00727627">
      <w:pPr>
        <w:spacing w:after="120" w:line="240" w:lineRule="auto"/>
        <w:rPr>
          <w:rFonts w:ascii="Roboto" w:hAnsi="Roboto"/>
          <w:b/>
          <w:bCs/>
          <w:color w:val="265898" w:themeColor="text2" w:themeTint="E6"/>
          <w:kern w:val="24"/>
        </w:rPr>
      </w:pPr>
      <w:r w:rsidRPr="004A4D50">
        <w:rPr>
          <w:rFonts w:ascii="Roboto" w:hAnsi="Roboto"/>
          <w:b/>
          <w:bCs/>
          <w:color w:val="265898" w:themeColor="text2" w:themeTint="E6"/>
          <w:kern w:val="24"/>
        </w:rPr>
        <w:t>Year 10</w:t>
      </w:r>
    </w:p>
    <w:p w14:paraId="0118704E" w14:textId="77777777" w:rsidR="004A4D50" w:rsidRPr="004A4D50" w:rsidRDefault="004A4D50" w:rsidP="00727627">
      <w:pPr>
        <w:spacing w:after="120" w:line="240" w:lineRule="auto"/>
        <w:rPr>
          <w:rFonts w:ascii="Roboto" w:hAnsi="Roboto"/>
          <w:color w:val="265898" w:themeColor="text2" w:themeTint="E6"/>
          <w:kern w:val="24"/>
        </w:rPr>
      </w:pPr>
      <w:r w:rsidRPr="004A4D50">
        <w:rPr>
          <w:rFonts w:ascii="Roboto" w:hAnsi="Roboto"/>
          <w:noProof/>
          <w:color w:val="265898" w:themeColor="text2" w:themeTint="E6"/>
          <w:kern w:val="24"/>
        </w:rPr>
        <w:t>The year 10 curriculum builds on the National Curriculum for KS3 and covers the KS4 GCSE contents. Students study the three science disciplines of biology, chemistry and physics through different routes - GCSE Combined Science (Trilogy) equivalent to two GCSEs or GCSE Biology, GCSE Chemistry and GCSE Physics.  Students learn through direct instruction, modelling, practical work and independent research. Required practicals are an important part of the exam assessment and allow students to learn through hand</w:t>
      </w:r>
      <w:r w:rsidRPr="004A4D50">
        <w:rPr>
          <w:rFonts w:ascii="Roboto" w:hAnsi="Roboto"/>
          <w:noProof/>
          <w:color w:val="265898" w:themeColor="text2" w:themeTint="E6"/>
          <w:kern w:val="24"/>
        </w:rPr>
        <w:t xml:space="preserve">s on exploration </w:t>
      </w:r>
      <w:r w:rsidRPr="004A4D50">
        <w:rPr>
          <w:rFonts w:ascii="Roboto" w:hAnsi="Roboto"/>
          <w:noProof/>
          <w:color w:val="265898" w:themeColor="text2" w:themeTint="E6"/>
          <w:kern w:val="24"/>
        </w:rPr>
        <w:lastRenderedPageBreak/>
        <w:t>while developing working scientifically skills including planning, recording data, graph skills, analysis and evaluation. Homework is integral to our curriculum and provides a structured opportunity for students to consolidate their learning through the use of online tools eg. Seneca and past paper questions.</w:t>
      </w:r>
    </w:p>
    <w:p w14:paraId="21992366" w14:textId="77777777" w:rsidR="004A4D50" w:rsidRPr="004A4D50" w:rsidRDefault="004A4D50" w:rsidP="00727627">
      <w:pPr>
        <w:spacing w:after="120" w:line="240" w:lineRule="auto"/>
        <w:rPr>
          <w:rFonts w:ascii="Roboto" w:hAnsi="Roboto"/>
          <w:b/>
          <w:bCs/>
          <w:color w:val="265898" w:themeColor="text2" w:themeTint="E6"/>
          <w:kern w:val="24"/>
        </w:rPr>
      </w:pPr>
      <w:r w:rsidRPr="004A4D50">
        <w:rPr>
          <w:rFonts w:ascii="Roboto" w:hAnsi="Roboto"/>
          <w:b/>
          <w:bCs/>
          <w:color w:val="265898" w:themeColor="text2" w:themeTint="E6"/>
          <w:kern w:val="24"/>
        </w:rPr>
        <w:t>Year 11</w:t>
      </w:r>
    </w:p>
    <w:p w14:paraId="0AEFC957" w14:textId="77777777" w:rsidR="004A4D50" w:rsidRPr="004A4D50" w:rsidRDefault="004A4D50" w:rsidP="00727627">
      <w:pPr>
        <w:spacing w:after="120" w:line="240" w:lineRule="auto"/>
        <w:rPr>
          <w:rFonts w:ascii="Roboto" w:hAnsi="Roboto"/>
          <w:color w:val="265898" w:themeColor="text2" w:themeTint="E6"/>
          <w:kern w:val="24"/>
        </w:rPr>
      </w:pPr>
      <w:r w:rsidRPr="004A4D50">
        <w:rPr>
          <w:rFonts w:ascii="Roboto" w:hAnsi="Roboto"/>
          <w:noProof/>
          <w:color w:val="265898" w:themeColor="text2" w:themeTint="E6"/>
          <w:kern w:val="24"/>
        </w:rPr>
        <w:t>The year 11 curriculum completes the National Curriculum for KS4 and the GCSE content. Students study the three science disciplines of biology, chemistry and physics through different routes - GCSE Combined Science (Trilogy) equivalent to two GCSEs or GCSE Biology, GCSE Chemistry and GCSE Physics.  Students learn through direct instruction, modelling, practical work and independent research. Required practicals are an important part of the exam assessment and allow students to learn through hands on explora</w:t>
      </w:r>
      <w:r w:rsidRPr="004A4D50">
        <w:rPr>
          <w:rFonts w:ascii="Roboto" w:hAnsi="Roboto"/>
          <w:noProof/>
          <w:color w:val="265898" w:themeColor="text2" w:themeTint="E6"/>
          <w:kern w:val="24"/>
        </w:rPr>
        <w:t>tion while developing working scientifically skills including planning, recording data, graph skills, analysis and evaluation. Homework is integral to our curriculum and provides a structured opportunity for students to consolidate their learning through the use of online tools eg. Seneca and past paper questions.</w:t>
      </w:r>
    </w:p>
    <w:p w14:paraId="2C0BBFF3" w14:textId="77777777" w:rsidR="004A4D50" w:rsidRPr="004A4D50" w:rsidRDefault="004A4D50" w:rsidP="00727627">
      <w:pPr>
        <w:rPr>
          <w:rFonts w:ascii="Roboto" w:hAnsi="Roboto"/>
          <w:color w:val="265898" w:themeColor="text2" w:themeTint="E6"/>
        </w:rPr>
      </w:pPr>
    </w:p>
    <w:p w14:paraId="59CF84FC" w14:textId="77777777" w:rsidR="004A4D50" w:rsidRPr="004A4D50" w:rsidRDefault="004A4D50" w:rsidP="00727627">
      <w:pPr>
        <w:spacing w:after="120" w:line="240" w:lineRule="auto"/>
        <w:rPr>
          <w:rFonts w:ascii="Roboto" w:hAnsi="Roboto"/>
          <w:b/>
          <w:bCs/>
          <w:color w:val="265898" w:themeColor="text2" w:themeTint="E6"/>
          <w:kern w:val="24"/>
          <w:sz w:val="24"/>
          <w:szCs w:val="24"/>
        </w:rPr>
      </w:pPr>
      <w:r w:rsidRPr="004A4D50">
        <w:rPr>
          <w:rFonts w:ascii="Roboto" w:hAnsi="Roboto"/>
          <w:b/>
          <w:bCs/>
          <w:color w:val="265898" w:themeColor="text2" w:themeTint="E6"/>
          <w:kern w:val="24"/>
          <w:sz w:val="24"/>
          <w:szCs w:val="24"/>
        </w:rPr>
        <w:t>Impact</w:t>
      </w:r>
    </w:p>
    <w:p w14:paraId="092DA67B" w14:textId="77777777" w:rsidR="004A4D50" w:rsidRPr="004A4D50" w:rsidRDefault="004A4D50" w:rsidP="00727627">
      <w:pPr>
        <w:rPr>
          <w:rFonts w:ascii="Roboto" w:hAnsi="Roboto"/>
          <w:color w:val="265898" w:themeColor="text2" w:themeTint="E6"/>
          <w:kern w:val="24"/>
          <w:lang w:val="en-GB"/>
        </w:rPr>
      </w:pPr>
      <w:r w:rsidRPr="004A4D50">
        <w:rPr>
          <w:rFonts w:ascii="Roboto" w:hAnsi="Roboto"/>
          <w:color w:val="265898" w:themeColor="text2" w:themeTint="E6"/>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4A4D50">
        <w:rPr>
          <w:rFonts w:ascii="Roboto" w:hAnsi="Roboto"/>
          <w:color w:val="265898" w:themeColor="text2" w:themeTint="E6"/>
          <w:kern w:val="24"/>
        </w:rPr>
        <w:t>prioritised</w:t>
      </w:r>
      <w:proofErr w:type="spellEnd"/>
      <w:r w:rsidRPr="004A4D50">
        <w:rPr>
          <w:rFonts w:ascii="Roboto" w:hAnsi="Roboto"/>
          <w:color w:val="265898" w:themeColor="text2" w:themeTint="E6"/>
          <w:kern w:val="24"/>
        </w:rPr>
        <w:t xml:space="preserve"> and is focused on whether pupils are keeping up with the curriculum.</w:t>
      </w:r>
    </w:p>
    <w:p w14:paraId="37588045" w14:textId="77777777" w:rsidR="004A4D50" w:rsidRPr="004A4D50" w:rsidRDefault="004A4D50" w:rsidP="00727627">
      <w:pPr>
        <w:rPr>
          <w:rFonts w:ascii="Roboto" w:hAnsi="Roboto"/>
          <w:color w:val="265898" w:themeColor="text2" w:themeTint="E6"/>
          <w:kern w:val="24"/>
          <w:lang w:val="en-GB"/>
        </w:rPr>
      </w:pPr>
      <w:r w:rsidRPr="004A4D50">
        <w:rPr>
          <w:rFonts w:ascii="Roboto" w:hAnsi="Roboto"/>
          <w:color w:val="265898" w:themeColor="text2" w:themeTint="E6"/>
          <w:kern w:val="24"/>
        </w:rPr>
        <w:t>In general, this is done through:</w:t>
      </w:r>
    </w:p>
    <w:p w14:paraId="593DAAC3" w14:textId="77777777" w:rsidR="004A4D50" w:rsidRPr="004A4D50" w:rsidRDefault="004A4D50" w:rsidP="00727627">
      <w:pPr>
        <w:numPr>
          <w:ilvl w:val="0"/>
          <w:numId w:val="4"/>
        </w:numPr>
        <w:rPr>
          <w:rFonts w:ascii="Roboto" w:hAnsi="Roboto"/>
          <w:color w:val="265898" w:themeColor="text2" w:themeTint="E6"/>
          <w:kern w:val="24"/>
          <w:lang w:val="en-GB"/>
        </w:rPr>
      </w:pPr>
      <w:r w:rsidRPr="004A4D50">
        <w:rPr>
          <w:rFonts w:ascii="Roboto" w:hAnsi="Roboto"/>
          <w:color w:val="265898" w:themeColor="text2" w:themeTint="E6"/>
          <w:kern w:val="24"/>
        </w:rPr>
        <w:t>Questioning in lessons. Teachers check understanding so they can fill gaps and address misconceptions as required.</w:t>
      </w:r>
    </w:p>
    <w:p w14:paraId="2DCCD08F" w14:textId="77777777" w:rsidR="004A4D50" w:rsidRPr="004A4D50" w:rsidRDefault="004A4D50" w:rsidP="00727627">
      <w:pPr>
        <w:numPr>
          <w:ilvl w:val="0"/>
          <w:numId w:val="4"/>
        </w:numPr>
        <w:rPr>
          <w:rFonts w:ascii="Roboto" w:hAnsi="Roboto"/>
          <w:color w:val="265898" w:themeColor="text2" w:themeTint="E6"/>
          <w:kern w:val="24"/>
          <w:lang w:val="en-GB"/>
        </w:rPr>
      </w:pPr>
      <w:r w:rsidRPr="004A4D50">
        <w:rPr>
          <w:rFonts w:ascii="Roboto" w:hAnsi="Roboto"/>
          <w:color w:val="265898" w:themeColor="text2" w:themeTint="E6"/>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4A4D50">
        <w:rPr>
          <w:rFonts w:ascii="Roboto" w:hAnsi="Roboto"/>
          <w:color w:val="265898" w:themeColor="text2" w:themeTint="E6"/>
          <w:kern w:val="24"/>
        </w:rPr>
        <w:t>.</w:t>
      </w:r>
      <w:r w:rsidRPr="004A4D50">
        <w:rPr>
          <w:rFonts w:ascii="Roboto" w:hAnsi="Roboto"/>
          <w:b/>
          <w:bCs/>
          <w:color w:val="265898" w:themeColor="text2" w:themeTint="E6"/>
          <w:kern w:val="24"/>
        </w:rPr>
        <w:t xml:space="preserve"> </w:t>
      </w:r>
    </w:p>
    <w:p w14:paraId="2569CFFF" w14:textId="77777777" w:rsidR="004A4D50" w:rsidRPr="004A4D50" w:rsidRDefault="004A4D50" w:rsidP="00727627">
      <w:pPr>
        <w:numPr>
          <w:ilvl w:val="0"/>
          <w:numId w:val="4"/>
        </w:numPr>
        <w:rPr>
          <w:rFonts w:ascii="Roboto" w:hAnsi="Roboto"/>
          <w:color w:val="265898" w:themeColor="text2" w:themeTint="E6"/>
          <w:kern w:val="24"/>
          <w:lang w:val="en-GB"/>
        </w:rPr>
      </w:pPr>
      <w:r w:rsidRPr="004A4D50">
        <w:rPr>
          <w:rFonts w:ascii="Roboto" w:hAnsi="Roboto"/>
          <w:color w:val="265898" w:themeColor="text2" w:themeTint="E6"/>
          <w:kern w:val="24"/>
        </w:rPr>
        <w:t xml:space="preserve">Post-learning quizzes at the end of each unit. These give teachers an understanding of the knowledge that pupils can recall at the end of the unit and can be used to identify any remaining gaps to be filled. </w:t>
      </w:r>
    </w:p>
    <w:p w14:paraId="675D3F81" w14:textId="77777777" w:rsidR="004A4D50" w:rsidRPr="004A4D50" w:rsidRDefault="004A4D50" w:rsidP="00727627">
      <w:pPr>
        <w:numPr>
          <w:ilvl w:val="0"/>
          <w:numId w:val="4"/>
        </w:numPr>
        <w:rPr>
          <w:rFonts w:ascii="Roboto" w:hAnsi="Roboto"/>
          <w:color w:val="265898" w:themeColor="text2" w:themeTint="E6"/>
          <w:kern w:val="24"/>
          <w:lang w:val="en-GB"/>
        </w:rPr>
      </w:pPr>
      <w:r w:rsidRPr="004A4D50">
        <w:rPr>
          <w:rFonts w:ascii="Roboto" w:hAnsi="Roboto"/>
          <w:color w:val="265898" w:themeColor="text2" w:themeTint="E6"/>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7F5A17D8" w14:textId="77777777" w:rsidR="004A4D50" w:rsidRPr="004A4D50" w:rsidRDefault="004A4D50">
      <w:pPr>
        <w:rPr>
          <w:color w:val="265898" w:themeColor="text2" w:themeTint="E6"/>
        </w:rPr>
        <w:sectPr w:rsidR="00A25FB7" w:rsidRPr="004A4D50" w:rsidSect="00A25FB7">
          <w:pgSz w:w="11906" w:h="16838"/>
          <w:pgMar w:top="1440" w:right="1440" w:bottom="1440" w:left="1440" w:header="708" w:footer="708" w:gutter="0"/>
          <w:pgNumType w:start="1"/>
          <w:cols w:space="708"/>
          <w:docGrid w:linePitch="360"/>
        </w:sectPr>
      </w:pPr>
    </w:p>
    <w:p w14:paraId="3BDA207C" w14:textId="77777777" w:rsidR="004A4D50" w:rsidRPr="004A4D50" w:rsidRDefault="004A4D50">
      <w:pPr>
        <w:rPr>
          <w:color w:val="265898" w:themeColor="text2" w:themeTint="E6"/>
        </w:rPr>
      </w:pPr>
    </w:p>
    <w:sectPr w:rsidR="00000000" w:rsidRPr="004A4D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0284857">
    <w:abstractNumId w:val="8"/>
  </w:num>
  <w:num w:numId="2" w16cid:durableId="2024044739">
    <w:abstractNumId w:val="6"/>
  </w:num>
  <w:num w:numId="3" w16cid:durableId="129370814">
    <w:abstractNumId w:val="5"/>
  </w:num>
  <w:num w:numId="4" w16cid:durableId="101733591">
    <w:abstractNumId w:val="4"/>
  </w:num>
  <w:num w:numId="5" w16cid:durableId="1123964182">
    <w:abstractNumId w:val="7"/>
  </w:num>
  <w:num w:numId="6" w16cid:durableId="387414555">
    <w:abstractNumId w:val="3"/>
  </w:num>
  <w:num w:numId="7" w16cid:durableId="808787822">
    <w:abstractNumId w:val="2"/>
  </w:num>
  <w:num w:numId="8" w16cid:durableId="1776747857">
    <w:abstractNumId w:val="1"/>
  </w:num>
  <w:num w:numId="9" w16cid:durableId="68984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4D50"/>
    <w:rsid w:val="0088409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1</cp:revision>
  <dcterms:created xsi:type="dcterms:W3CDTF">2013-12-23T23:15:00Z</dcterms:created>
  <dcterms:modified xsi:type="dcterms:W3CDTF">2026-04-26T16:43:00Z</dcterms:modified>
  <cp:category/>
</cp:coreProperties>
</file>